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hint="eastAsia"/>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jc w:val="center"/>
        <w:rPr>
          <w:sz w:val="84"/>
          <w:szCs w:val="84"/>
        </w:rPr>
      </w:pPr>
      <w:r>
        <w:rPr>
          <w:rFonts w:hint="eastAsia"/>
          <w:sz w:val="84"/>
          <w:szCs w:val="84"/>
        </w:rPr>
        <w:t>2021年度</w:t>
      </w:r>
    </w:p>
    <w:p>
      <w:pPr>
        <w:pStyle w:val="10"/>
        <w:jc w:val="center"/>
        <w:rPr>
          <w:sz w:val="84"/>
          <w:szCs w:val="84"/>
        </w:rPr>
      </w:pPr>
      <w:r>
        <w:rPr>
          <w:rFonts w:hint="eastAsia"/>
          <w:sz w:val="84"/>
          <w:szCs w:val="84"/>
        </w:rPr>
        <w:t>湖南省环境保护科学研究院部门决算</w:t>
      </w: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spacing w:line="500" w:lineRule="exact"/>
        <w:jc w:val="center"/>
        <w:rPr>
          <w:b/>
          <w:sz w:val="36"/>
          <w:szCs w:val="28"/>
        </w:rPr>
      </w:pPr>
      <w:r>
        <w:rPr>
          <w:rFonts w:hint="eastAsia"/>
          <w:b/>
          <w:sz w:val="36"/>
          <w:szCs w:val="28"/>
        </w:rPr>
        <w:t>目录</w:t>
      </w:r>
    </w:p>
    <w:p>
      <w:pPr>
        <w:pStyle w:val="10"/>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 xml:space="preserve"> </w:t>
      </w:r>
      <w:r>
        <w:rPr>
          <w:rFonts w:hint="eastAsia"/>
          <w:b/>
          <w:sz w:val="28"/>
          <w:szCs w:val="28"/>
        </w:rPr>
        <w:t>单位概况</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10"/>
        <w:spacing w:line="500" w:lineRule="exact"/>
        <w:rPr>
          <w:rFonts w:ascii="仿宋_GB2312" w:hAnsi="仿宋_GB2312" w:cs="仿宋_GB2312"/>
          <w:b/>
          <w:sz w:val="28"/>
          <w:szCs w:val="28"/>
        </w:rPr>
      </w:pPr>
      <w:r>
        <w:rPr>
          <w:rFonts w:hint="eastAsia" w:hAnsi="仿宋_GB2312"/>
          <w:b/>
          <w:sz w:val="28"/>
          <w:szCs w:val="28"/>
        </w:rPr>
        <w:t>第二部分</w:t>
      </w:r>
      <w:r>
        <w:rPr>
          <w:rFonts w:hint="eastAsia" w:hAnsi="仿宋_GB2312"/>
          <w:b/>
          <w:sz w:val="28"/>
          <w:szCs w:val="28"/>
          <w:lang w:val="en-US" w:eastAsia="zh-CN"/>
        </w:rPr>
        <w:t xml:space="preserve"> </w:t>
      </w:r>
      <w:r>
        <w:rPr>
          <w:rFonts w:hAnsi="仿宋_GB2312"/>
          <w:b/>
          <w:sz w:val="28"/>
          <w:szCs w:val="28"/>
        </w:rPr>
        <w:t>20</w:t>
      </w:r>
      <w:r>
        <w:rPr>
          <w:rFonts w:hint="eastAsia" w:hAnsi="仿宋_GB2312"/>
          <w:b/>
          <w:sz w:val="28"/>
          <w:szCs w:val="28"/>
        </w:rPr>
        <w:t>21年度部门决算表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0"/>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0"/>
        <w:spacing w:line="500" w:lineRule="exact"/>
        <w:rPr>
          <w:rFonts w:ascii="仿宋_GB2312" w:hAnsi="仿宋_GB2312" w:cs="仿宋_GB2312"/>
          <w:b/>
          <w:sz w:val="28"/>
          <w:szCs w:val="28"/>
        </w:rPr>
      </w:pPr>
      <w:r>
        <w:rPr>
          <w:rFonts w:hint="eastAsia" w:hAnsi="仿宋_GB2312"/>
          <w:b/>
          <w:sz w:val="28"/>
          <w:szCs w:val="28"/>
        </w:rPr>
        <w:t>第三部分</w:t>
      </w:r>
      <w:r>
        <w:rPr>
          <w:rFonts w:hint="eastAsia" w:hAnsi="仿宋_GB2312"/>
          <w:b/>
          <w:sz w:val="28"/>
          <w:szCs w:val="28"/>
          <w:lang w:val="en-US" w:eastAsia="zh-CN"/>
        </w:rPr>
        <w:t xml:space="preserve"> </w:t>
      </w:r>
      <w:r>
        <w:rPr>
          <w:rFonts w:hAnsi="仿宋_GB2312"/>
          <w:b/>
          <w:sz w:val="28"/>
          <w:szCs w:val="28"/>
        </w:rPr>
        <w:t>20</w:t>
      </w:r>
      <w:r>
        <w:rPr>
          <w:rFonts w:hint="eastAsia" w:hAnsi="仿宋_GB2312"/>
          <w:b/>
          <w:sz w:val="28"/>
          <w:szCs w:val="28"/>
        </w:rPr>
        <w:t>21年度部门决算情况说明</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0"/>
        <w:jc w:val="center"/>
        <w:rPr>
          <w:sz w:val="72"/>
          <w:szCs w:val="72"/>
        </w:rPr>
      </w:pPr>
      <w:r>
        <w:rPr>
          <w:rFonts w:hint="eastAsia"/>
          <w:sz w:val="72"/>
          <w:szCs w:val="72"/>
        </w:rPr>
        <w:t>第一部分</w:t>
      </w:r>
      <w:r>
        <w:rPr>
          <w:sz w:val="72"/>
          <w:szCs w:val="72"/>
        </w:rPr>
        <w:t xml:space="preserve"> </w:t>
      </w:r>
    </w:p>
    <w:p>
      <w:pPr>
        <w:pStyle w:val="10"/>
        <w:jc w:val="center"/>
        <w:rPr>
          <w:sz w:val="72"/>
          <w:szCs w:val="72"/>
        </w:rPr>
      </w:pPr>
    </w:p>
    <w:p>
      <w:pPr>
        <w:pStyle w:val="10"/>
        <w:jc w:val="center"/>
        <w:rPr>
          <w:rFonts w:hint="eastAsia"/>
          <w:sz w:val="72"/>
          <w:szCs w:val="72"/>
        </w:rPr>
      </w:pPr>
      <w:r>
        <w:rPr>
          <w:rFonts w:hint="eastAsia"/>
          <w:sz w:val="72"/>
          <w:szCs w:val="72"/>
        </w:rPr>
        <w:t>湖南省环境保护科学研究院</w:t>
      </w:r>
    </w:p>
    <w:p>
      <w:pPr>
        <w:pStyle w:val="10"/>
        <w:jc w:val="center"/>
        <w:rPr>
          <w:sz w:val="72"/>
          <w:szCs w:val="72"/>
        </w:rPr>
      </w:pPr>
      <w:r>
        <w:rPr>
          <w:rFonts w:hint="eastAsia"/>
          <w:sz w:val="72"/>
          <w:szCs w:val="72"/>
        </w:rPr>
        <w:t>概况</w:t>
      </w:r>
    </w:p>
    <w:p>
      <w:pPr>
        <w:jc w:val="center"/>
        <w:rPr>
          <w:sz w:val="72"/>
          <w:szCs w:val="72"/>
        </w:rPr>
      </w:pPr>
    </w:p>
    <w:p>
      <w:pPr>
        <w:jc w:val="center"/>
        <w:rPr>
          <w:sz w:val="72"/>
          <w:szCs w:val="72"/>
        </w:rPr>
      </w:pPr>
    </w:p>
    <w:p>
      <w:pPr>
        <w:jc w:val="center"/>
        <w:rPr>
          <w:sz w:val="72"/>
          <w:szCs w:val="72"/>
        </w:rPr>
      </w:pPr>
    </w:p>
    <w:p>
      <w:pPr>
        <w:pStyle w:val="11"/>
        <w:ind w:left="0" w:leftChars="0" w:firstLine="0" w:firstLineChars="0"/>
        <w:jc w:val="left"/>
        <w:rPr>
          <w:rFonts w:ascii="黑体" w:hAnsi="黑体" w:eastAsia="黑体"/>
          <w:sz w:val="32"/>
          <w:szCs w:val="32"/>
        </w:rPr>
      </w:pPr>
    </w:p>
    <w:p>
      <w:pPr>
        <w:pStyle w:val="11"/>
        <w:ind w:left="0" w:leftChars="0" w:firstLine="0" w:firstLineChars="0"/>
        <w:jc w:val="left"/>
        <w:rPr>
          <w:rFonts w:ascii="黑体" w:hAnsi="黑体" w:eastAsia="黑体"/>
          <w:sz w:val="32"/>
          <w:szCs w:val="32"/>
        </w:rPr>
      </w:pPr>
    </w:p>
    <w:p>
      <w:pPr>
        <w:pStyle w:val="11"/>
        <w:ind w:left="0" w:leftChars="0" w:firstLine="0" w:firstLineChars="0"/>
        <w:jc w:val="left"/>
        <w:rPr>
          <w:rFonts w:ascii="黑体" w:hAnsi="黑体" w:eastAsia="黑体"/>
          <w:sz w:val="32"/>
          <w:szCs w:val="32"/>
        </w:rPr>
      </w:pPr>
    </w:p>
    <w:p>
      <w:pPr>
        <w:pStyle w:val="11"/>
        <w:ind w:left="0" w:leftChars="0" w:firstLine="0" w:firstLineChars="0"/>
        <w:jc w:val="left"/>
        <w:rPr>
          <w:rFonts w:ascii="黑体" w:hAnsi="黑体" w:eastAsia="黑体"/>
          <w:sz w:val="32"/>
          <w:szCs w:val="32"/>
        </w:rPr>
      </w:pPr>
    </w:p>
    <w:p>
      <w:pPr>
        <w:pStyle w:val="11"/>
        <w:ind w:left="0" w:leftChars="0" w:firstLine="0" w:firstLineChars="0"/>
        <w:jc w:val="left"/>
        <w:rPr>
          <w:rFonts w:ascii="黑体" w:hAnsi="黑体" w:eastAsia="黑体"/>
          <w:sz w:val="32"/>
          <w:szCs w:val="32"/>
        </w:rPr>
      </w:pPr>
    </w:p>
    <w:p>
      <w:pPr>
        <w:pStyle w:val="11"/>
        <w:numPr>
          <w:ilvl w:val="0"/>
          <w:numId w:val="0"/>
        </w:numPr>
        <w:ind w:leftChars="0" w:firstLine="320" w:firstLineChars="100"/>
        <w:jc w:val="left"/>
        <w:rPr>
          <w:rFonts w:hint="eastAsia" w:ascii="黑体" w:hAnsi="黑体" w:eastAsia="黑体"/>
          <w:sz w:val="32"/>
          <w:szCs w:val="32"/>
          <w:lang w:val="en-US" w:eastAsia="zh-CN"/>
        </w:rPr>
      </w:pPr>
    </w:p>
    <w:p>
      <w:pPr>
        <w:pStyle w:val="11"/>
        <w:numPr>
          <w:ilvl w:val="0"/>
          <w:numId w:val="0"/>
        </w:numPr>
        <w:ind w:leftChars="0" w:firstLine="640" w:firstLineChars="200"/>
        <w:jc w:val="left"/>
        <w:rPr>
          <w:rFonts w:ascii="黑体" w:hAnsi="黑体" w:eastAsia="黑体"/>
          <w:sz w:val="32"/>
          <w:szCs w:val="32"/>
        </w:rPr>
      </w:pPr>
      <w:r>
        <w:rPr>
          <w:rFonts w:hint="eastAsia" w:ascii="黑体" w:hAnsi="黑体" w:eastAsia="黑体"/>
          <w:sz w:val="32"/>
          <w:szCs w:val="32"/>
          <w:lang w:val="en-US" w:eastAsia="zh-CN"/>
        </w:rPr>
        <w:t xml:space="preserve">一、 </w:t>
      </w:r>
      <w:r>
        <w:rPr>
          <w:rFonts w:ascii="黑体" w:hAnsi="黑体" w:eastAsia="黑体"/>
          <w:sz w:val="32"/>
          <w:szCs w:val="32"/>
        </w:rPr>
        <w:t>部门职责</w:t>
      </w:r>
    </w:p>
    <w:p>
      <w:pPr>
        <w:jc w:val="left"/>
        <w:rPr>
          <w:rFonts w:hint="default" w:asciiTheme="minorEastAsia" w:hAnsiTheme="minorEastAsia" w:eastAsiaTheme="minorEastAsia"/>
          <w:sz w:val="32"/>
          <w:szCs w:val="32"/>
          <w:lang w:val="en-US" w:eastAsia="zh-CN"/>
        </w:rPr>
      </w:pPr>
      <w:r>
        <w:rPr>
          <w:rFonts w:hint="eastAsia" w:asciiTheme="minorEastAsia" w:hAnsiTheme="minorEastAsia"/>
          <w:sz w:val="32"/>
          <w:szCs w:val="32"/>
          <w:lang w:val="en-US" w:eastAsia="zh-CN"/>
        </w:rPr>
        <w:t xml:space="preserve">    </w:t>
      </w:r>
      <w:r>
        <w:rPr>
          <w:rFonts w:hint="eastAsia" w:cs="黑体" w:asciiTheme="minorEastAsia" w:hAnsiTheme="minorEastAsia"/>
          <w:color w:val="000000"/>
          <w:kern w:val="0"/>
          <w:sz w:val="32"/>
          <w:szCs w:val="32"/>
        </w:rPr>
        <w:t>湖南省环境保护科学研究院创建于1975年7月，是湖南省生态环境厅</w:t>
      </w:r>
      <w:r>
        <w:rPr>
          <w:rFonts w:hint="eastAsia" w:cs="黑体" w:asciiTheme="minorEastAsia" w:hAnsiTheme="minorEastAsia"/>
          <w:color w:val="000000"/>
          <w:kern w:val="0"/>
          <w:sz w:val="32"/>
          <w:szCs w:val="32"/>
          <w:lang w:eastAsia="zh-CN"/>
        </w:rPr>
        <w:t>直属的</w:t>
      </w:r>
      <w:r>
        <w:rPr>
          <w:rFonts w:hint="eastAsia" w:cs="黑体" w:asciiTheme="minorEastAsia" w:hAnsiTheme="minorEastAsia"/>
          <w:color w:val="000000"/>
          <w:kern w:val="0"/>
          <w:sz w:val="32"/>
          <w:szCs w:val="32"/>
        </w:rPr>
        <w:t>公益二类事业单位。主要职能：一是支撑管理。作为我省环保科技智囊，为生态环境厅环境管理做好技术支撑。二是科技研发。申报或承担国家、省内相关纵向环保科研课题和应用研究。三是开展相关的横向以及环保咨询业务，弥补我院差额拨款单位事业费不足。</w:t>
      </w:r>
    </w:p>
    <w:p>
      <w:pPr>
        <w:widowControl/>
        <w:spacing w:line="600" w:lineRule="exact"/>
        <w:ind w:firstLine="640" w:firstLineChars="200"/>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40" w:firstLineChars="200"/>
        <w:rPr>
          <w:rFonts w:hint="eastAsia" w:asciiTheme="minorEastAsia" w:hAnsiTheme="minorEastAsia"/>
          <w:bCs/>
          <w:kern w:val="0"/>
          <w:sz w:val="32"/>
          <w:szCs w:val="32"/>
        </w:rPr>
      </w:pPr>
      <w:r>
        <w:rPr>
          <w:rFonts w:hint="eastAsia" w:asciiTheme="minorEastAsia" w:hAnsiTheme="minorEastAsia"/>
          <w:bCs/>
          <w:kern w:val="0"/>
          <w:sz w:val="32"/>
          <w:szCs w:val="32"/>
        </w:rPr>
        <w:t>（一）内设机构设置。湖南省环境保护科学研究院内设机构包括：水生态环境研究所、大气环境研究所、土壤生态环境研究所、固体废物与危险化学品环境研究所、 环境生态研究所、生态环境规划研究所</w:t>
      </w:r>
      <w:r>
        <w:rPr>
          <w:rFonts w:hint="eastAsia" w:asciiTheme="minorEastAsia" w:hAnsiTheme="minorEastAsia"/>
          <w:bCs/>
          <w:kern w:val="0"/>
          <w:sz w:val="32"/>
          <w:szCs w:val="32"/>
          <w:lang w:eastAsia="zh-CN"/>
        </w:rPr>
        <w:t>、</w:t>
      </w:r>
      <w:r>
        <w:rPr>
          <w:rFonts w:hint="eastAsia" w:asciiTheme="minorEastAsia" w:hAnsiTheme="minorEastAsia"/>
          <w:bCs/>
          <w:kern w:val="0"/>
          <w:sz w:val="32"/>
          <w:szCs w:val="32"/>
        </w:rPr>
        <w:t>环境与经济研究所等</w:t>
      </w:r>
      <w:r>
        <w:rPr>
          <w:rFonts w:hint="eastAsia" w:asciiTheme="minorEastAsia" w:hAnsiTheme="minorEastAsia"/>
          <w:bCs/>
          <w:kern w:val="0"/>
          <w:sz w:val="32"/>
          <w:szCs w:val="32"/>
          <w:lang w:eastAsia="zh-CN"/>
        </w:rPr>
        <w:t>七</w:t>
      </w:r>
      <w:r>
        <w:rPr>
          <w:rFonts w:hint="eastAsia" w:asciiTheme="minorEastAsia" w:hAnsiTheme="minorEastAsia"/>
          <w:bCs/>
          <w:kern w:val="0"/>
          <w:sz w:val="32"/>
          <w:szCs w:val="32"/>
        </w:rPr>
        <w:t>个</w:t>
      </w:r>
      <w:r>
        <w:rPr>
          <w:rFonts w:hint="eastAsia" w:asciiTheme="minorEastAsia" w:hAnsiTheme="minorEastAsia"/>
          <w:bCs/>
          <w:kern w:val="0"/>
          <w:sz w:val="32"/>
          <w:szCs w:val="32"/>
          <w:lang w:eastAsia="zh-CN"/>
        </w:rPr>
        <w:t>科研业务</w:t>
      </w:r>
      <w:r>
        <w:rPr>
          <w:rFonts w:hint="eastAsia" w:asciiTheme="minorEastAsia" w:hAnsiTheme="minorEastAsia"/>
          <w:bCs/>
          <w:kern w:val="0"/>
          <w:sz w:val="32"/>
          <w:szCs w:val="32"/>
        </w:rPr>
        <w:t>部门。生态环境损害鉴定与应急中心、环境咨询技术中心、生态环境检测中心</w:t>
      </w:r>
      <w:r>
        <w:rPr>
          <w:rFonts w:hint="eastAsia" w:asciiTheme="minorEastAsia" w:hAnsiTheme="minorEastAsia"/>
          <w:bCs/>
          <w:kern w:val="0"/>
          <w:sz w:val="32"/>
          <w:szCs w:val="32"/>
          <w:lang w:eastAsia="zh-CN"/>
        </w:rPr>
        <w:t>、</w:t>
      </w:r>
      <w:r>
        <w:rPr>
          <w:rFonts w:hint="eastAsia" w:asciiTheme="minorEastAsia" w:hAnsiTheme="minorEastAsia"/>
          <w:bCs/>
          <w:kern w:val="0"/>
          <w:sz w:val="32"/>
          <w:szCs w:val="32"/>
        </w:rPr>
        <w:t>环境工程技术应用中心等</w:t>
      </w:r>
      <w:r>
        <w:rPr>
          <w:rFonts w:hint="eastAsia" w:asciiTheme="minorEastAsia" w:hAnsiTheme="minorEastAsia"/>
          <w:bCs/>
          <w:kern w:val="0"/>
          <w:sz w:val="32"/>
          <w:szCs w:val="32"/>
          <w:lang w:eastAsia="zh-CN"/>
        </w:rPr>
        <w:t>四</w:t>
      </w:r>
      <w:r>
        <w:rPr>
          <w:rFonts w:hint="eastAsia" w:asciiTheme="minorEastAsia" w:hAnsiTheme="minorEastAsia"/>
          <w:bCs/>
          <w:kern w:val="0"/>
          <w:sz w:val="32"/>
          <w:szCs w:val="32"/>
        </w:rPr>
        <w:t>个咨询业务部门。办公室、人事（党群）部、科技管理部、财务部和纪检监察（审计）室等</w:t>
      </w:r>
      <w:r>
        <w:rPr>
          <w:rFonts w:hint="eastAsia" w:asciiTheme="minorEastAsia" w:hAnsiTheme="minorEastAsia"/>
          <w:bCs/>
          <w:kern w:val="0"/>
          <w:sz w:val="32"/>
          <w:szCs w:val="32"/>
          <w:lang w:eastAsia="zh-CN"/>
        </w:rPr>
        <w:t>五</w:t>
      </w:r>
      <w:r>
        <w:rPr>
          <w:rFonts w:hint="eastAsia" w:asciiTheme="minorEastAsia" w:hAnsiTheme="minorEastAsia"/>
          <w:bCs/>
          <w:kern w:val="0"/>
          <w:sz w:val="32"/>
          <w:szCs w:val="32"/>
        </w:rPr>
        <w:t>个</w:t>
      </w:r>
      <w:r>
        <w:rPr>
          <w:rFonts w:hint="eastAsia" w:asciiTheme="minorEastAsia" w:hAnsiTheme="minorEastAsia"/>
          <w:bCs/>
          <w:kern w:val="0"/>
          <w:sz w:val="32"/>
          <w:szCs w:val="32"/>
          <w:lang w:eastAsia="zh-CN"/>
        </w:rPr>
        <w:t>管理</w:t>
      </w:r>
      <w:r>
        <w:rPr>
          <w:rFonts w:hint="eastAsia" w:asciiTheme="minorEastAsia" w:hAnsiTheme="minorEastAsia"/>
          <w:bCs/>
          <w:kern w:val="0"/>
          <w:sz w:val="32"/>
          <w:szCs w:val="32"/>
        </w:rPr>
        <w:t>部门。一个全资公司湖南省环科院环境工程有限责任公司。</w:t>
      </w:r>
    </w:p>
    <w:p>
      <w:pPr>
        <w:widowControl/>
        <w:spacing w:line="600" w:lineRule="exact"/>
        <w:rPr>
          <w:rFonts w:ascii="黑体" w:hAnsi="黑体" w:eastAsia="黑体"/>
          <w:sz w:val="28"/>
          <w:szCs w:val="28"/>
        </w:rPr>
      </w:pPr>
      <w:r>
        <w:rPr>
          <w:rFonts w:hint="eastAsia" w:asciiTheme="minorEastAsia" w:hAnsiTheme="minorEastAsia"/>
          <w:bCs/>
          <w:kern w:val="0"/>
          <w:sz w:val="32"/>
          <w:szCs w:val="32"/>
        </w:rPr>
        <w:t xml:space="preserve">   </w:t>
      </w:r>
      <w:r>
        <w:rPr>
          <w:rFonts w:hint="eastAsia" w:asciiTheme="minorEastAsia" w:hAnsiTheme="minorEastAsia"/>
          <w:bCs/>
          <w:kern w:val="0"/>
          <w:sz w:val="32"/>
          <w:szCs w:val="32"/>
          <w:lang w:val="en-US" w:eastAsia="zh-CN"/>
        </w:rPr>
        <w:t xml:space="preserve"> </w:t>
      </w:r>
      <w:r>
        <w:rPr>
          <w:rFonts w:hint="eastAsia" w:asciiTheme="minorEastAsia" w:hAnsiTheme="minorEastAsia"/>
          <w:bCs/>
          <w:kern w:val="0"/>
          <w:sz w:val="32"/>
          <w:szCs w:val="32"/>
        </w:rPr>
        <w:t>（二）决算单位构成。湖南省环境保护科学研究院</w:t>
      </w:r>
      <w:r>
        <w:rPr>
          <w:rFonts w:asciiTheme="minorEastAsia" w:hAnsiTheme="minorEastAsia"/>
          <w:bCs/>
          <w:kern w:val="0"/>
          <w:sz w:val="32"/>
          <w:szCs w:val="32"/>
        </w:rPr>
        <w:t>20</w:t>
      </w:r>
      <w:r>
        <w:rPr>
          <w:rFonts w:hint="eastAsia" w:asciiTheme="minorEastAsia" w:hAnsiTheme="minorEastAsia"/>
          <w:bCs/>
          <w:kern w:val="0"/>
          <w:sz w:val="32"/>
          <w:szCs w:val="32"/>
        </w:rPr>
        <w:t>2</w:t>
      </w:r>
      <w:r>
        <w:rPr>
          <w:rFonts w:hint="eastAsia" w:asciiTheme="minorEastAsia" w:hAnsiTheme="minorEastAsia"/>
          <w:bCs/>
          <w:kern w:val="0"/>
          <w:sz w:val="32"/>
          <w:szCs w:val="32"/>
          <w:lang w:val="en-US" w:eastAsia="zh-CN"/>
        </w:rPr>
        <w:t>1</w:t>
      </w:r>
      <w:r>
        <w:rPr>
          <w:rFonts w:hint="eastAsia" w:asciiTheme="minorEastAsia" w:hAnsiTheme="minorEastAsia"/>
          <w:bCs/>
          <w:kern w:val="0"/>
          <w:sz w:val="32"/>
          <w:szCs w:val="32"/>
        </w:rPr>
        <w:t>年部门决算汇总公开单位构成包括：湖南省环境保护科学研究院单位本级。</w:t>
      </w: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rFonts w:hint="eastAsia" w:ascii="黑体" w:hAnsi="黑体" w:eastAsia="黑体" w:cs="黑体"/>
          <w:b w:val="0"/>
          <w:bCs w:val="0"/>
          <w:sz w:val="72"/>
          <w:szCs w:val="72"/>
        </w:rPr>
      </w:pPr>
      <w:r>
        <w:rPr>
          <w:rFonts w:hint="eastAsia" w:ascii="黑体" w:hAnsi="黑体" w:eastAsia="黑体" w:cs="黑体"/>
          <w:b w:val="0"/>
          <w:bCs w:val="0"/>
          <w:sz w:val="72"/>
          <w:szCs w:val="72"/>
        </w:rPr>
        <w:t>第二部分</w:t>
      </w:r>
    </w:p>
    <w:p>
      <w:pPr>
        <w:jc w:val="center"/>
        <w:rPr>
          <w:rFonts w:hint="eastAsia" w:ascii="黑体" w:hAnsi="黑体" w:eastAsia="黑体" w:cs="黑体"/>
          <w:b w:val="0"/>
          <w:bCs w:val="0"/>
          <w:sz w:val="72"/>
          <w:szCs w:val="72"/>
        </w:rPr>
      </w:pPr>
    </w:p>
    <w:p>
      <w:pPr>
        <w:jc w:val="center"/>
        <w:rPr>
          <w:rFonts w:hint="eastAsia" w:ascii="黑体" w:hAnsi="黑体" w:eastAsia="黑体" w:cs="黑体"/>
          <w:b w:val="0"/>
          <w:bCs w:val="0"/>
          <w:sz w:val="72"/>
          <w:szCs w:val="72"/>
        </w:rPr>
      </w:pPr>
      <w:r>
        <w:rPr>
          <w:rFonts w:hint="eastAsia" w:ascii="黑体" w:hAnsi="黑体" w:eastAsia="黑体" w:cs="黑体"/>
          <w:b w:val="0"/>
          <w:bCs w:val="0"/>
          <w:sz w:val="72"/>
          <w:szCs w:val="72"/>
        </w:rPr>
        <w:t>部门决算表</w:t>
      </w:r>
    </w:p>
    <w:p>
      <w:pPr>
        <w:jc w:val="center"/>
        <w:rPr>
          <w:rFonts w:hint="eastAsia" w:ascii="黑体" w:hAnsi="黑体" w:eastAsia="黑体" w:cs="黑体"/>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pgBorders>
            <w:top w:val="none" w:sz="0" w:space="0"/>
            <w:left w:val="none" w:sz="0" w:space="0"/>
            <w:bottom w:val="none" w:sz="0" w:space="0"/>
            <w:right w:val="none" w:sz="0" w:space="0"/>
          </w:pgBorders>
          <w:cols w:space="425" w:num="1"/>
          <w:docGrid w:type="lines" w:linePitch="312" w:charSpace="0"/>
        </w:sectPr>
      </w:pPr>
    </w:p>
    <w:tbl>
      <w:tblPr>
        <w:tblStyle w:val="6"/>
        <w:tblW w:w="13847" w:type="dxa"/>
        <w:tblInd w:w="93" w:type="dxa"/>
        <w:tblLayout w:type="fixed"/>
        <w:tblCellMar>
          <w:top w:w="0" w:type="dxa"/>
          <w:left w:w="108" w:type="dxa"/>
          <w:bottom w:w="0" w:type="dxa"/>
          <w:right w:w="108" w:type="dxa"/>
        </w:tblCellMar>
      </w:tblPr>
      <w:tblGrid>
        <w:gridCol w:w="4039"/>
        <w:gridCol w:w="671"/>
        <w:gridCol w:w="534"/>
        <w:gridCol w:w="822"/>
        <w:gridCol w:w="622"/>
        <w:gridCol w:w="3188"/>
        <w:gridCol w:w="644"/>
        <w:gridCol w:w="1427"/>
        <w:gridCol w:w="647"/>
        <w:gridCol w:w="1253"/>
      </w:tblGrid>
      <w:tr>
        <w:tblPrEx>
          <w:tblCellMar>
            <w:top w:w="0" w:type="dxa"/>
            <w:left w:w="108" w:type="dxa"/>
            <w:bottom w:w="0" w:type="dxa"/>
            <w:right w:w="108" w:type="dxa"/>
          </w:tblCellMar>
        </w:tblPrEx>
        <w:trPr>
          <w:trHeight w:val="360" w:hRule="atLeast"/>
        </w:trPr>
        <w:tc>
          <w:tcPr>
            <w:tcW w:w="13847" w:type="dxa"/>
            <w:gridSpan w:val="10"/>
            <w:tcBorders>
              <w:top w:val="nil"/>
              <w:left w:val="nil"/>
              <w:bottom w:val="nil"/>
              <w:right w:val="nil"/>
            </w:tcBorders>
            <w:shd w:val="clear" w:color="auto" w:fill="auto"/>
            <w:noWrap/>
            <w:vAlign w:val="center"/>
          </w:tcPr>
          <w:p>
            <w:pPr>
              <w:widowControl/>
              <w:jc w:val="center"/>
              <w:rPr>
                <w:rFonts w:hint="eastAsia" w:ascii="华文中宋" w:hAnsi="华文中宋" w:eastAsia="华文中宋" w:cs="华文中宋"/>
                <w:color w:val="000000"/>
                <w:kern w:val="0"/>
                <w:sz w:val="32"/>
                <w:szCs w:val="32"/>
              </w:rPr>
            </w:pPr>
            <w:r>
              <w:rPr>
                <w:rFonts w:hint="eastAsia" w:ascii="华文中宋" w:hAnsi="华文中宋" w:eastAsia="华文中宋" w:cs="华文中宋"/>
                <w:color w:val="000000"/>
                <w:kern w:val="0"/>
                <w:sz w:val="32"/>
                <w:szCs w:val="32"/>
              </w:rPr>
              <w:t>收入支出决算总表</w:t>
            </w:r>
          </w:p>
        </w:tc>
      </w:tr>
      <w:tr>
        <w:tblPrEx>
          <w:tblCellMar>
            <w:top w:w="0" w:type="dxa"/>
            <w:left w:w="108" w:type="dxa"/>
            <w:bottom w:w="0" w:type="dxa"/>
            <w:right w:w="108" w:type="dxa"/>
          </w:tblCellMar>
        </w:tblPrEx>
        <w:trPr>
          <w:trHeight w:val="90" w:hRule="atLeast"/>
        </w:trPr>
        <w:tc>
          <w:tcPr>
            <w:tcW w:w="5244" w:type="dxa"/>
            <w:gridSpan w:val="3"/>
            <w:tcBorders>
              <w:top w:val="nil"/>
              <w:left w:val="nil"/>
              <w:bottom w:val="nil"/>
              <w:right w:val="nil"/>
            </w:tcBorders>
            <w:shd w:val="clear" w:color="000000" w:fill="FFFFFF"/>
            <w:noWrap/>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822" w:type="dxa"/>
            <w:tcBorders>
              <w:top w:val="nil"/>
              <w:left w:val="nil"/>
              <w:bottom w:val="nil"/>
              <w:right w:val="nil"/>
            </w:tcBorders>
            <w:shd w:val="clear" w:color="000000" w:fill="FFFFFF"/>
            <w:noWrap/>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622" w:type="dxa"/>
            <w:tcBorders>
              <w:top w:val="nil"/>
              <w:left w:val="nil"/>
              <w:bottom w:val="nil"/>
              <w:right w:val="nil"/>
            </w:tcBorders>
            <w:shd w:val="clear" w:color="000000" w:fill="FFFFFF"/>
            <w:noWrap/>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5259" w:type="dxa"/>
            <w:gridSpan w:val="3"/>
            <w:tcBorders>
              <w:top w:val="nil"/>
              <w:left w:val="nil"/>
              <w:bottom w:val="nil"/>
              <w:right w:val="nil"/>
            </w:tcBorders>
            <w:shd w:val="clear" w:color="000000" w:fill="FFFFFF"/>
            <w:noWrap/>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647" w:type="dxa"/>
            <w:tcBorders>
              <w:top w:val="nil"/>
              <w:left w:val="nil"/>
              <w:bottom w:val="nil"/>
              <w:right w:val="nil"/>
            </w:tcBorders>
            <w:shd w:val="clear" w:color="000000" w:fill="FFFFFF"/>
            <w:noWrap/>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1253" w:type="dxa"/>
            <w:tcBorders>
              <w:top w:val="nil"/>
              <w:left w:val="nil"/>
              <w:bottom w:val="nil"/>
              <w:right w:val="nil"/>
            </w:tcBorders>
            <w:shd w:val="clear" w:color="000000" w:fill="FFFFFF"/>
            <w:noWrap/>
            <w:vAlign w:val="center"/>
          </w:tcPr>
          <w:p>
            <w:pPr>
              <w:widowControl/>
              <w:jc w:val="right"/>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公开01表</w:t>
            </w:r>
          </w:p>
        </w:tc>
      </w:tr>
      <w:tr>
        <w:tblPrEx>
          <w:tblCellMar>
            <w:top w:w="0" w:type="dxa"/>
            <w:left w:w="108" w:type="dxa"/>
            <w:bottom w:w="0" w:type="dxa"/>
            <w:right w:w="108" w:type="dxa"/>
          </w:tblCellMar>
        </w:tblPrEx>
        <w:trPr>
          <w:trHeight w:val="300" w:hRule="atLeast"/>
        </w:trPr>
        <w:tc>
          <w:tcPr>
            <w:tcW w:w="5244" w:type="dxa"/>
            <w:gridSpan w:val="3"/>
            <w:tcBorders>
              <w:top w:val="nil"/>
              <w:left w:val="nil"/>
              <w:bottom w:val="nil"/>
              <w:right w:val="nil"/>
            </w:tcBorders>
            <w:shd w:val="clear" w:color="000000" w:fill="FFFFFF"/>
            <w:noWrap/>
            <w:vAlign w:val="center"/>
          </w:tcPr>
          <w:p>
            <w:pPr>
              <w:widowControl/>
              <w:jc w:val="left"/>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部门： 湖南省环境保护科学研究院</w:t>
            </w:r>
          </w:p>
        </w:tc>
        <w:tc>
          <w:tcPr>
            <w:tcW w:w="822" w:type="dxa"/>
            <w:tcBorders>
              <w:top w:val="nil"/>
              <w:left w:val="nil"/>
              <w:bottom w:val="nil"/>
              <w:right w:val="nil"/>
            </w:tcBorders>
            <w:shd w:val="clear" w:color="000000" w:fill="FFFFFF"/>
            <w:noWrap/>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622" w:type="dxa"/>
            <w:tcBorders>
              <w:top w:val="nil"/>
              <w:left w:val="nil"/>
              <w:bottom w:val="nil"/>
              <w:right w:val="nil"/>
            </w:tcBorders>
            <w:shd w:val="clear" w:color="000000" w:fill="FFFFFF"/>
            <w:noWrap/>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5259" w:type="dxa"/>
            <w:gridSpan w:val="3"/>
            <w:tcBorders>
              <w:top w:val="nil"/>
              <w:left w:val="nil"/>
              <w:bottom w:val="nil"/>
              <w:right w:val="nil"/>
            </w:tcBorders>
            <w:shd w:val="clear" w:color="000000" w:fill="FFFFFF"/>
            <w:noWrap/>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lang w:val="en-US" w:eastAsia="zh-CN"/>
              </w:rPr>
              <w:t>2021年度</w:t>
            </w:r>
            <w:r>
              <w:rPr>
                <w:rFonts w:hint="eastAsia" w:asciiTheme="minorEastAsia" w:hAnsiTheme="minorEastAsia" w:eastAsiaTheme="minorEastAsia" w:cstheme="minorEastAsia"/>
                <w:kern w:val="0"/>
                <w:sz w:val="20"/>
                <w:szCs w:val="20"/>
              </w:rPr>
              <w:t>　</w:t>
            </w:r>
          </w:p>
        </w:tc>
        <w:tc>
          <w:tcPr>
            <w:tcW w:w="647" w:type="dxa"/>
            <w:tcBorders>
              <w:top w:val="nil"/>
              <w:left w:val="nil"/>
              <w:bottom w:val="nil"/>
              <w:right w:val="nil"/>
            </w:tcBorders>
            <w:shd w:val="clear" w:color="000000" w:fill="FFFFFF"/>
            <w:noWrap/>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1253" w:type="dxa"/>
            <w:tcBorders>
              <w:top w:val="nil"/>
              <w:left w:val="nil"/>
              <w:bottom w:val="nil"/>
              <w:right w:val="nil"/>
            </w:tcBorders>
            <w:shd w:val="clear" w:color="000000" w:fill="FFFFFF"/>
            <w:noWrap/>
            <w:vAlign w:val="center"/>
          </w:tcPr>
          <w:p>
            <w:pPr>
              <w:widowControl/>
              <w:jc w:val="right"/>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单位：万元</w:t>
            </w:r>
          </w:p>
        </w:tc>
      </w:tr>
      <w:tr>
        <w:tblPrEx>
          <w:tblCellMar>
            <w:top w:w="0" w:type="dxa"/>
            <w:left w:w="108" w:type="dxa"/>
            <w:bottom w:w="0" w:type="dxa"/>
            <w:right w:w="108" w:type="dxa"/>
          </w:tblCellMar>
        </w:tblPrEx>
        <w:trPr>
          <w:trHeight w:val="340" w:hRule="atLeast"/>
        </w:trPr>
        <w:tc>
          <w:tcPr>
            <w:tcW w:w="6688" w:type="dxa"/>
            <w:gridSpan w:val="5"/>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收入</w:t>
            </w:r>
          </w:p>
        </w:tc>
        <w:tc>
          <w:tcPr>
            <w:tcW w:w="7159" w:type="dxa"/>
            <w:gridSpan w:val="5"/>
            <w:tcBorders>
              <w:top w:val="single" w:color="auto" w:sz="4" w:space="0"/>
              <w:left w:val="nil"/>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支出</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项    目</w:t>
            </w: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行次</w:t>
            </w:r>
          </w:p>
        </w:tc>
        <w:tc>
          <w:tcPr>
            <w:tcW w:w="1978" w:type="dxa"/>
            <w:gridSpan w:val="3"/>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决算数</w:t>
            </w:r>
          </w:p>
        </w:tc>
        <w:tc>
          <w:tcPr>
            <w:tcW w:w="318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项    目</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行次</w:t>
            </w:r>
          </w:p>
        </w:tc>
        <w:tc>
          <w:tcPr>
            <w:tcW w:w="3327" w:type="dxa"/>
            <w:gridSpan w:val="3"/>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决算数</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栏    次</w:t>
            </w: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1978" w:type="dxa"/>
            <w:gridSpan w:val="3"/>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1</w:t>
            </w:r>
          </w:p>
        </w:tc>
        <w:tc>
          <w:tcPr>
            <w:tcW w:w="318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栏    次</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3327" w:type="dxa"/>
            <w:gridSpan w:val="3"/>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2</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一、一般公共预算财政拨款收入</w:t>
            </w: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3,404.60</w:t>
            </w:r>
          </w:p>
        </w:tc>
        <w:tc>
          <w:tcPr>
            <w:tcW w:w="318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一、一般公共服务支出</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32</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二、政府性基金预算财政拨款收入</w:t>
            </w: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318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二、外交支出</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33</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四、上级补助收入</w:t>
            </w: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318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四、公共安全支出</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35</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五、事业收入</w:t>
            </w: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8,828.7</w:t>
            </w:r>
            <w:r>
              <w:rPr>
                <w:rFonts w:hint="eastAsia" w:asciiTheme="minorEastAsia" w:hAnsiTheme="minorEastAsia" w:cstheme="minorEastAsia"/>
                <w:i w:val="0"/>
                <w:iCs w:val="0"/>
                <w:color w:val="000000"/>
                <w:kern w:val="0"/>
                <w:sz w:val="20"/>
                <w:szCs w:val="20"/>
                <w:u w:val="none"/>
                <w:lang w:val="en-US" w:eastAsia="zh-CN" w:bidi="ar"/>
              </w:rPr>
              <w:t>8</w:t>
            </w:r>
          </w:p>
        </w:tc>
        <w:tc>
          <w:tcPr>
            <w:tcW w:w="318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五、教育支出</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36</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六、经营收入</w:t>
            </w: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318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六、科学技术支出</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37</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7,291.42</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七、附属单位上缴收入</w:t>
            </w: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7</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318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七、文化旅游体育与传媒支出</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38</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八、其他收入</w:t>
            </w: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153.19</w:t>
            </w:r>
          </w:p>
        </w:tc>
        <w:tc>
          <w:tcPr>
            <w:tcW w:w="318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八、社会保障和就业支出</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39</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420.76</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val="0"/>
              <w:spacing w:line="240" w:lineRule="auto"/>
              <w:jc w:val="left"/>
              <w:rPr>
                <w:rFonts w:hint="eastAsia" w:asciiTheme="minorEastAsia" w:hAnsiTheme="minorEastAsia" w:eastAsiaTheme="minorEastAsia" w:cstheme="minorEastAsia"/>
                <w:kern w:val="0"/>
                <w:sz w:val="20"/>
                <w:szCs w:val="20"/>
              </w:rPr>
            </w:pP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9</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val="0"/>
              <w:spacing w:line="240" w:lineRule="auto"/>
              <w:jc w:val="right"/>
              <w:rPr>
                <w:rFonts w:hint="eastAsia" w:asciiTheme="minorEastAsia" w:hAnsiTheme="minorEastAsia" w:eastAsiaTheme="minorEastAsia" w:cstheme="minorEastAsia"/>
                <w:kern w:val="0"/>
                <w:sz w:val="20"/>
                <w:szCs w:val="20"/>
              </w:rPr>
            </w:pPr>
          </w:p>
        </w:tc>
        <w:tc>
          <w:tcPr>
            <w:tcW w:w="318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九、卫生健康支出</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40</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cstheme="minorEastAsia"/>
                <w:b/>
                <w:bCs/>
                <w:kern w:val="0"/>
                <w:sz w:val="20"/>
                <w:szCs w:val="20"/>
                <w:lang w:val="en-US" w:eastAsia="zh-CN"/>
              </w:rPr>
            </w:pPr>
            <w:r>
              <w:rPr>
                <w:rFonts w:hint="eastAsia" w:asciiTheme="minorEastAsia" w:hAnsiTheme="minorEastAsia" w:cstheme="minorEastAsia"/>
                <w:b w:val="0"/>
                <w:bCs w:val="0"/>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val="0"/>
              <w:spacing w:line="240" w:lineRule="auto"/>
              <w:jc w:val="left"/>
              <w:rPr>
                <w:rFonts w:hint="eastAsia" w:asciiTheme="minorEastAsia" w:hAnsiTheme="minorEastAsia" w:eastAsiaTheme="minorEastAsia" w:cstheme="minorEastAsia"/>
                <w:b/>
                <w:bCs/>
                <w:kern w:val="0"/>
                <w:sz w:val="20"/>
                <w:szCs w:val="20"/>
              </w:rPr>
            </w:pP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val="0"/>
              <w:spacing w:line="240" w:lineRule="auto"/>
              <w:jc w:val="right"/>
              <w:rPr>
                <w:rFonts w:hint="eastAsia" w:asciiTheme="minorEastAsia" w:hAnsiTheme="minorEastAsia" w:eastAsiaTheme="minorEastAsia" w:cstheme="minorEastAsia"/>
                <w:kern w:val="0"/>
                <w:sz w:val="20"/>
                <w:szCs w:val="20"/>
              </w:rPr>
            </w:pPr>
          </w:p>
        </w:tc>
        <w:tc>
          <w:tcPr>
            <w:tcW w:w="318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b/>
                <w:bCs/>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十、节能环保支出</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41</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1,875.94</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val="0"/>
              <w:spacing w:line="240" w:lineRule="auto"/>
              <w:jc w:val="left"/>
              <w:rPr>
                <w:rFonts w:hint="eastAsia" w:asciiTheme="minorEastAsia" w:hAnsiTheme="minorEastAsia" w:eastAsiaTheme="minorEastAsia" w:cstheme="minorEastAsia"/>
                <w:kern w:val="0"/>
                <w:sz w:val="20"/>
                <w:szCs w:val="20"/>
              </w:rPr>
            </w:pP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val="0"/>
              <w:spacing w:line="240" w:lineRule="auto"/>
              <w:jc w:val="right"/>
              <w:rPr>
                <w:rFonts w:hint="eastAsia" w:asciiTheme="minorEastAsia" w:hAnsiTheme="minorEastAsia" w:eastAsiaTheme="minorEastAsia" w:cstheme="minorEastAsia"/>
                <w:kern w:val="0"/>
                <w:sz w:val="20"/>
                <w:szCs w:val="20"/>
              </w:rPr>
            </w:pPr>
          </w:p>
        </w:tc>
        <w:tc>
          <w:tcPr>
            <w:tcW w:w="318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十一、城乡社区支出</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42</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val="0"/>
              <w:spacing w:line="240" w:lineRule="auto"/>
              <w:jc w:val="left"/>
              <w:rPr>
                <w:rFonts w:hint="eastAsia" w:asciiTheme="minorEastAsia" w:hAnsiTheme="minorEastAsia" w:eastAsiaTheme="minorEastAsia" w:cstheme="minorEastAsia"/>
                <w:kern w:val="0"/>
                <w:sz w:val="20"/>
                <w:szCs w:val="20"/>
              </w:rPr>
            </w:pP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val="0"/>
              <w:spacing w:line="240" w:lineRule="auto"/>
              <w:jc w:val="right"/>
              <w:rPr>
                <w:rFonts w:hint="eastAsia" w:asciiTheme="minorEastAsia" w:hAnsiTheme="minorEastAsia" w:eastAsiaTheme="minorEastAsia" w:cstheme="minorEastAsia"/>
                <w:kern w:val="0"/>
                <w:sz w:val="20"/>
                <w:szCs w:val="20"/>
              </w:rPr>
            </w:pPr>
          </w:p>
        </w:tc>
        <w:tc>
          <w:tcPr>
            <w:tcW w:w="318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十二、农林水支出</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43</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kinsoku/>
              <w:wordWrap/>
              <w:overflowPunct/>
              <w:topLinePunct w:val="0"/>
              <w:autoSpaceDE/>
              <w:autoSpaceDN/>
              <w:bidi w:val="0"/>
              <w:adjustRightInd/>
              <w:snapToGrid w:val="0"/>
              <w:spacing w:line="240" w:lineRule="auto"/>
              <w:jc w:val="left"/>
              <w:rPr>
                <w:rFonts w:hint="eastAsia" w:asciiTheme="minorEastAsia" w:hAnsiTheme="minorEastAsia" w:eastAsiaTheme="minorEastAsia" w:cstheme="minorEastAsia"/>
                <w:b/>
                <w:bCs/>
                <w:kern w:val="0"/>
                <w:sz w:val="20"/>
                <w:szCs w:val="20"/>
              </w:rPr>
            </w:pP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13</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val="0"/>
              <w:spacing w:line="240" w:lineRule="auto"/>
              <w:jc w:val="right"/>
              <w:rPr>
                <w:rFonts w:hint="eastAsia" w:asciiTheme="minorEastAsia" w:hAnsiTheme="minorEastAsia" w:eastAsiaTheme="minorEastAsia" w:cstheme="minorEastAsia"/>
                <w:kern w:val="0"/>
                <w:sz w:val="20"/>
                <w:szCs w:val="20"/>
              </w:rPr>
            </w:pPr>
          </w:p>
        </w:tc>
        <w:tc>
          <w:tcPr>
            <w:tcW w:w="318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b/>
                <w:bCs/>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十三、交通运输支出</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44</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eastAsiaTheme="minorEastAsia" w:cstheme="minorEastAsia"/>
                <w:b/>
                <w:bCs/>
                <w:kern w:val="0"/>
                <w:sz w:val="20"/>
                <w:szCs w:val="20"/>
                <w:lang w:val="en-US" w:eastAsia="zh-CN"/>
              </w:rPr>
            </w:pPr>
            <w:r>
              <w:rPr>
                <w:rFonts w:hint="eastAsia" w:asciiTheme="minorEastAsia" w:hAnsiTheme="minorEastAsia" w:cstheme="minorEastAsia"/>
                <w:b w:val="0"/>
                <w:bCs w:val="0"/>
                <w:kern w:val="0"/>
                <w:sz w:val="20"/>
                <w:szCs w:val="20"/>
                <w:lang w:val="en-US" w:eastAsia="zh-CN"/>
              </w:rPr>
              <w:t>0.00</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kinsoku/>
              <w:wordWrap/>
              <w:overflowPunct/>
              <w:topLinePunct w:val="0"/>
              <w:autoSpaceDE/>
              <w:autoSpaceDN/>
              <w:bidi w:val="0"/>
              <w:adjustRightInd/>
              <w:snapToGrid w:val="0"/>
              <w:spacing w:line="240" w:lineRule="auto"/>
              <w:jc w:val="left"/>
              <w:rPr>
                <w:rFonts w:hint="eastAsia" w:asciiTheme="minorEastAsia" w:hAnsiTheme="minorEastAsia" w:eastAsiaTheme="minorEastAsia" w:cstheme="minorEastAsia"/>
                <w:b/>
                <w:bCs/>
                <w:kern w:val="0"/>
                <w:sz w:val="20"/>
                <w:szCs w:val="20"/>
              </w:rPr>
            </w:pP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14</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val="0"/>
              <w:spacing w:line="240" w:lineRule="auto"/>
              <w:jc w:val="right"/>
              <w:rPr>
                <w:rFonts w:hint="eastAsia" w:asciiTheme="minorEastAsia" w:hAnsiTheme="minorEastAsia" w:eastAsiaTheme="minorEastAsia" w:cstheme="minorEastAsia"/>
                <w:i w:val="0"/>
                <w:iCs w:val="0"/>
                <w:color w:val="000000"/>
                <w:kern w:val="2"/>
                <w:sz w:val="20"/>
                <w:szCs w:val="20"/>
                <w:u w:val="none"/>
                <w:lang w:val="en-US" w:eastAsia="zh-CN" w:bidi="ar-SA"/>
              </w:rPr>
            </w:pPr>
          </w:p>
        </w:tc>
        <w:tc>
          <w:tcPr>
            <w:tcW w:w="318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十四、资源勘探工业信息等支出</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45</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cstheme="minorEastAsia"/>
                <w:i w:val="0"/>
                <w:iCs w:val="0"/>
                <w:color w:val="000000"/>
                <w:kern w:val="2"/>
                <w:sz w:val="20"/>
                <w:szCs w:val="20"/>
                <w:u w:val="none"/>
                <w:lang w:val="en-US" w:eastAsia="zh-CN" w:bidi="ar-SA"/>
              </w:rPr>
              <w:t>0.00</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kinsoku/>
              <w:wordWrap/>
              <w:overflowPunct/>
              <w:topLinePunct w:val="0"/>
              <w:autoSpaceDE/>
              <w:autoSpaceDN/>
              <w:bidi w:val="0"/>
              <w:adjustRightInd/>
              <w:snapToGrid w:val="0"/>
              <w:spacing w:line="240" w:lineRule="auto"/>
              <w:jc w:val="left"/>
              <w:rPr>
                <w:rFonts w:hint="eastAsia" w:asciiTheme="minorEastAsia" w:hAnsiTheme="minorEastAsia" w:eastAsiaTheme="minorEastAsia" w:cstheme="minorEastAsia"/>
                <w:b/>
                <w:bCs/>
                <w:kern w:val="0"/>
                <w:sz w:val="20"/>
                <w:szCs w:val="20"/>
              </w:rPr>
            </w:pP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val="0"/>
              <w:spacing w:line="240" w:lineRule="auto"/>
              <w:jc w:val="right"/>
              <w:rPr>
                <w:rFonts w:hint="eastAsia" w:asciiTheme="minorEastAsia" w:hAnsiTheme="minorEastAsia" w:eastAsiaTheme="minorEastAsia" w:cstheme="minorEastAsia"/>
                <w:i w:val="0"/>
                <w:iCs w:val="0"/>
                <w:color w:val="000000"/>
                <w:kern w:val="2"/>
                <w:sz w:val="20"/>
                <w:szCs w:val="20"/>
                <w:u w:val="none"/>
                <w:lang w:val="en-US" w:eastAsia="zh-CN" w:bidi="ar-SA"/>
              </w:rPr>
            </w:pPr>
          </w:p>
        </w:tc>
        <w:tc>
          <w:tcPr>
            <w:tcW w:w="318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十五、商业服务业等支出</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46</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cstheme="minorEastAsia"/>
                <w:i w:val="0"/>
                <w:iCs w:val="0"/>
                <w:color w:val="000000"/>
                <w:kern w:val="2"/>
                <w:sz w:val="20"/>
                <w:szCs w:val="20"/>
                <w:u w:val="none"/>
                <w:lang w:val="en-US" w:eastAsia="zh-CN" w:bidi="ar-SA"/>
              </w:rPr>
              <w:t>0.00</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kinsoku/>
              <w:wordWrap/>
              <w:overflowPunct/>
              <w:topLinePunct w:val="0"/>
              <w:autoSpaceDE/>
              <w:autoSpaceDN/>
              <w:bidi w:val="0"/>
              <w:adjustRightInd/>
              <w:snapToGrid w:val="0"/>
              <w:spacing w:line="240" w:lineRule="auto"/>
              <w:jc w:val="left"/>
              <w:rPr>
                <w:rFonts w:hint="eastAsia" w:asciiTheme="minorEastAsia" w:hAnsiTheme="minorEastAsia" w:eastAsiaTheme="minorEastAsia" w:cstheme="minorEastAsia"/>
                <w:b/>
                <w:bCs/>
                <w:kern w:val="0"/>
                <w:sz w:val="20"/>
                <w:szCs w:val="20"/>
              </w:rPr>
            </w:pP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val="0"/>
              <w:spacing w:line="240" w:lineRule="auto"/>
              <w:jc w:val="right"/>
              <w:rPr>
                <w:rFonts w:hint="eastAsia" w:asciiTheme="minorEastAsia" w:hAnsiTheme="minorEastAsia" w:eastAsiaTheme="minorEastAsia" w:cstheme="minorEastAsia"/>
                <w:i w:val="0"/>
                <w:iCs w:val="0"/>
                <w:color w:val="000000"/>
                <w:kern w:val="2"/>
                <w:sz w:val="20"/>
                <w:szCs w:val="20"/>
                <w:u w:val="none"/>
                <w:lang w:val="en-US" w:eastAsia="zh-CN" w:bidi="ar-SA"/>
              </w:rPr>
            </w:pPr>
          </w:p>
        </w:tc>
        <w:tc>
          <w:tcPr>
            <w:tcW w:w="318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十六、金融支出</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47</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cstheme="minorEastAsia"/>
                <w:i w:val="0"/>
                <w:iCs w:val="0"/>
                <w:color w:val="000000"/>
                <w:kern w:val="2"/>
                <w:sz w:val="20"/>
                <w:szCs w:val="20"/>
                <w:u w:val="none"/>
                <w:lang w:val="en-US" w:eastAsia="zh-CN" w:bidi="ar-SA"/>
              </w:rPr>
              <w:t>0.00</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kinsoku/>
              <w:wordWrap/>
              <w:overflowPunct/>
              <w:topLinePunct w:val="0"/>
              <w:autoSpaceDE/>
              <w:autoSpaceDN/>
              <w:bidi w:val="0"/>
              <w:adjustRightInd/>
              <w:snapToGrid w:val="0"/>
              <w:spacing w:line="240" w:lineRule="auto"/>
              <w:jc w:val="left"/>
              <w:rPr>
                <w:rFonts w:hint="eastAsia" w:asciiTheme="minorEastAsia" w:hAnsiTheme="minorEastAsia" w:eastAsiaTheme="minorEastAsia" w:cstheme="minorEastAsia"/>
                <w:b/>
                <w:bCs/>
                <w:kern w:val="0"/>
                <w:sz w:val="20"/>
                <w:szCs w:val="20"/>
              </w:rPr>
            </w:pP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17</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val="0"/>
              <w:spacing w:line="240" w:lineRule="auto"/>
              <w:jc w:val="right"/>
              <w:rPr>
                <w:rFonts w:hint="eastAsia" w:asciiTheme="minorEastAsia" w:hAnsiTheme="minorEastAsia" w:eastAsiaTheme="minorEastAsia" w:cstheme="minorEastAsia"/>
                <w:i w:val="0"/>
                <w:iCs w:val="0"/>
                <w:color w:val="000000"/>
                <w:kern w:val="2"/>
                <w:sz w:val="20"/>
                <w:szCs w:val="20"/>
                <w:u w:val="none"/>
                <w:lang w:val="en-US" w:eastAsia="zh-CN" w:bidi="ar-SA"/>
              </w:rPr>
            </w:pPr>
          </w:p>
        </w:tc>
        <w:tc>
          <w:tcPr>
            <w:tcW w:w="318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十七、援助其他地区支出</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48</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cstheme="minorEastAsia"/>
                <w:i w:val="0"/>
                <w:iCs w:val="0"/>
                <w:color w:val="000000"/>
                <w:kern w:val="2"/>
                <w:sz w:val="20"/>
                <w:szCs w:val="20"/>
                <w:u w:val="none"/>
                <w:lang w:val="en-US" w:eastAsia="zh-CN" w:bidi="ar-SA"/>
              </w:rPr>
              <w:t>0.00</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kinsoku/>
              <w:wordWrap/>
              <w:overflowPunct/>
              <w:topLinePunct w:val="0"/>
              <w:autoSpaceDE/>
              <w:autoSpaceDN/>
              <w:bidi w:val="0"/>
              <w:adjustRightInd/>
              <w:snapToGrid w:val="0"/>
              <w:spacing w:line="240" w:lineRule="auto"/>
              <w:jc w:val="left"/>
              <w:rPr>
                <w:rFonts w:hint="eastAsia" w:asciiTheme="minorEastAsia" w:hAnsiTheme="minorEastAsia" w:eastAsiaTheme="minorEastAsia" w:cstheme="minorEastAsia"/>
                <w:b/>
                <w:bCs/>
                <w:kern w:val="0"/>
                <w:sz w:val="20"/>
                <w:szCs w:val="20"/>
              </w:rPr>
            </w:pP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18</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val="0"/>
              <w:spacing w:line="240" w:lineRule="auto"/>
              <w:jc w:val="right"/>
              <w:rPr>
                <w:rFonts w:hint="eastAsia" w:asciiTheme="minorEastAsia" w:hAnsiTheme="minorEastAsia" w:eastAsiaTheme="minorEastAsia" w:cstheme="minorEastAsia"/>
                <w:i w:val="0"/>
                <w:iCs w:val="0"/>
                <w:color w:val="000000"/>
                <w:kern w:val="2"/>
                <w:sz w:val="20"/>
                <w:szCs w:val="20"/>
                <w:u w:val="none"/>
                <w:lang w:val="en-US" w:eastAsia="zh-CN" w:bidi="ar-SA"/>
              </w:rPr>
            </w:pPr>
          </w:p>
        </w:tc>
        <w:tc>
          <w:tcPr>
            <w:tcW w:w="318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十八、自然资源海洋气象等支出</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49</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cstheme="minorEastAsia"/>
                <w:i w:val="0"/>
                <w:iCs w:val="0"/>
                <w:color w:val="000000"/>
                <w:kern w:val="2"/>
                <w:sz w:val="20"/>
                <w:szCs w:val="20"/>
                <w:u w:val="none"/>
                <w:lang w:val="en-US" w:eastAsia="zh-CN" w:bidi="ar-SA"/>
              </w:rPr>
              <w:t>0.00</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kinsoku/>
              <w:wordWrap/>
              <w:overflowPunct/>
              <w:topLinePunct w:val="0"/>
              <w:autoSpaceDE/>
              <w:autoSpaceDN/>
              <w:bidi w:val="0"/>
              <w:adjustRightInd/>
              <w:snapToGrid w:val="0"/>
              <w:spacing w:line="240" w:lineRule="auto"/>
              <w:jc w:val="left"/>
              <w:rPr>
                <w:rFonts w:hint="eastAsia" w:asciiTheme="minorEastAsia" w:hAnsiTheme="minorEastAsia" w:eastAsiaTheme="minorEastAsia" w:cstheme="minorEastAsia"/>
                <w:b/>
                <w:bCs/>
                <w:kern w:val="0"/>
                <w:sz w:val="20"/>
                <w:szCs w:val="20"/>
              </w:rPr>
            </w:pP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19</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val="0"/>
              <w:spacing w:line="240" w:lineRule="auto"/>
              <w:jc w:val="right"/>
              <w:rPr>
                <w:rFonts w:hint="eastAsia" w:asciiTheme="minorEastAsia" w:hAnsiTheme="minorEastAsia" w:eastAsiaTheme="minorEastAsia" w:cstheme="minorEastAsia"/>
                <w:i w:val="0"/>
                <w:iCs w:val="0"/>
                <w:color w:val="000000"/>
                <w:kern w:val="2"/>
                <w:sz w:val="20"/>
                <w:szCs w:val="20"/>
                <w:u w:val="none"/>
                <w:lang w:val="en-US" w:eastAsia="zh-CN" w:bidi="ar-SA"/>
              </w:rPr>
            </w:pPr>
          </w:p>
        </w:tc>
        <w:tc>
          <w:tcPr>
            <w:tcW w:w="318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十九、住房保障支出</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50</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148.74</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kinsoku/>
              <w:wordWrap/>
              <w:overflowPunct/>
              <w:topLinePunct w:val="0"/>
              <w:autoSpaceDE/>
              <w:autoSpaceDN/>
              <w:bidi w:val="0"/>
              <w:adjustRightInd/>
              <w:snapToGrid w:val="0"/>
              <w:spacing w:line="240" w:lineRule="auto"/>
              <w:jc w:val="left"/>
              <w:rPr>
                <w:rFonts w:hint="eastAsia" w:asciiTheme="minorEastAsia" w:hAnsiTheme="minorEastAsia" w:eastAsiaTheme="minorEastAsia" w:cstheme="minorEastAsia"/>
                <w:i w:val="0"/>
                <w:iCs w:val="0"/>
                <w:color w:val="000000"/>
                <w:kern w:val="2"/>
                <w:sz w:val="20"/>
                <w:szCs w:val="20"/>
                <w:u w:val="none"/>
                <w:lang w:val="en-US" w:eastAsia="zh-CN" w:bidi="ar-SA"/>
              </w:rPr>
            </w:pP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20</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val="0"/>
              <w:spacing w:line="240" w:lineRule="auto"/>
              <w:jc w:val="right"/>
              <w:rPr>
                <w:rFonts w:hint="eastAsia" w:asciiTheme="minorEastAsia" w:hAnsiTheme="minorEastAsia" w:eastAsiaTheme="minorEastAsia" w:cstheme="minorEastAsia"/>
                <w:i w:val="0"/>
                <w:iCs w:val="0"/>
                <w:color w:val="000000"/>
                <w:kern w:val="2"/>
                <w:sz w:val="20"/>
                <w:szCs w:val="20"/>
                <w:u w:val="none"/>
                <w:lang w:val="en-US" w:eastAsia="zh-CN" w:bidi="ar-SA"/>
              </w:rPr>
            </w:pPr>
          </w:p>
        </w:tc>
        <w:tc>
          <w:tcPr>
            <w:tcW w:w="318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二十、粮油物资储备支出</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51</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cstheme="minorEastAsia"/>
                <w:i w:val="0"/>
                <w:iCs w:val="0"/>
                <w:color w:val="000000"/>
                <w:kern w:val="2"/>
                <w:sz w:val="20"/>
                <w:szCs w:val="20"/>
                <w:u w:val="none"/>
                <w:lang w:val="en-US" w:eastAsia="zh-CN" w:bidi="ar-SA"/>
              </w:rPr>
            </w:pPr>
            <w:r>
              <w:rPr>
                <w:rFonts w:hint="eastAsia" w:asciiTheme="minorEastAsia" w:hAnsiTheme="minorEastAsia" w:cstheme="minorEastAsia"/>
                <w:i w:val="0"/>
                <w:iCs w:val="0"/>
                <w:color w:val="000000"/>
                <w:kern w:val="2"/>
                <w:sz w:val="20"/>
                <w:szCs w:val="20"/>
                <w:u w:val="none"/>
                <w:lang w:val="en-US" w:eastAsia="zh-CN" w:bidi="ar-SA"/>
              </w:rPr>
              <w:t>0.00</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kinsoku/>
              <w:wordWrap/>
              <w:overflowPunct/>
              <w:topLinePunct w:val="0"/>
              <w:autoSpaceDE/>
              <w:autoSpaceDN/>
              <w:bidi w:val="0"/>
              <w:adjustRightInd/>
              <w:snapToGrid w:val="0"/>
              <w:spacing w:line="240" w:lineRule="auto"/>
              <w:jc w:val="left"/>
              <w:rPr>
                <w:rFonts w:hint="eastAsia" w:asciiTheme="minorEastAsia" w:hAnsiTheme="minorEastAsia" w:eastAsiaTheme="minorEastAsia" w:cstheme="minorEastAsia"/>
                <w:i w:val="0"/>
                <w:iCs w:val="0"/>
                <w:color w:val="000000"/>
                <w:kern w:val="2"/>
                <w:sz w:val="20"/>
                <w:szCs w:val="20"/>
                <w:u w:val="none"/>
                <w:lang w:val="en-US" w:eastAsia="zh-CN" w:bidi="ar-SA"/>
              </w:rPr>
            </w:pP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21</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val="0"/>
              <w:spacing w:line="240" w:lineRule="auto"/>
              <w:jc w:val="right"/>
              <w:rPr>
                <w:rFonts w:hint="eastAsia" w:asciiTheme="minorEastAsia" w:hAnsiTheme="minorEastAsia" w:eastAsiaTheme="minorEastAsia" w:cstheme="minorEastAsia"/>
                <w:i w:val="0"/>
                <w:iCs w:val="0"/>
                <w:color w:val="000000"/>
                <w:kern w:val="2"/>
                <w:sz w:val="20"/>
                <w:szCs w:val="20"/>
                <w:u w:val="none"/>
                <w:lang w:val="en-US" w:eastAsia="zh-CN" w:bidi="ar-SA"/>
              </w:rPr>
            </w:pPr>
          </w:p>
        </w:tc>
        <w:tc>
          <w:tcPr>
            <w:tcW w:w="318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二十一、国有资本经营预算支出</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52</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cstheme="minorEastAsia"/>
                <w:i w:val="0"/>
                <w:iCs w:val="0"/>
                <w:color w:val="000000"/>
                <w:kern w:val="2"/>
                <w:sz w:val="20"/>
                <w:szCs w:val="20"/>
                <w:u w:val="none"/>
                <w:lang w:val="en-US" w:eastAsia="zh-CN" w:bidi="ar-SA"/>
              </w:rPr>
              <w:t>0.00</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kinsoku/>
              <w:wordWrap/>
              <w:overflowPunct/>
              <w:topLinePunct w:val="0"/>
              <w:autoSpaceDE/>
              <w:autoSpaceDN/>
              <w:bidi w:val="0"/>
              <w:adjustRightInd/>
              <w:snapToGrid w:val="0"/>
              <w:spacing w:line="240" w:lineRule="auto"/>
              <w:jc w:val="left"/>
              <w:rPr>
                <w:rFonts w:hint="eastAsia" w:asciiTheme="minorEastAsia" w:hAnsiTheme="minorEastAsia" w:eastAsiaTheme="minorEastAsia" w:cstheme="minorEastAsia"/>
                <w:i w:val="0"/>
                <w:iCs w:val="0"/>
                <w:color w:val="000000"/>
                <w:kern w:val="2"/>
                <w:sz w:val="20"/>
                <w:szCs w:val="20"/>
                <w:u w:val="none"/>
                <w:lang w:val="en-US" w:eastAsia="zh-CN" w:bidi="ar-SA"/>
              </w:rPr>
            </w:pP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22</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val="0"/>
              <w:spacing w:line="240" w:lineRule="auto"/>
              <w:jc w:val="right"/>
              <w:rPr>
                <w:rFonts w:hint="eastAsia" w:asciiTheme="minorEastAsia" w:hAnsiTheme="minorEastAsia" w:eastAsiaTheme="minorEastAsia" w:cstheme="minorEastAsia"/>
                <w:i w:val="0"/>
                <w:iCs w:val="0"/>
                <w:color w:val="000000"/>
                <w:kern w:val="2"/>
                <w:sz w:val="20"/>
                <w:szCs w:val="20"/>
                <w:u w:val="none"/>
                <w:lang w:val="en-US" w:eastAsia="zh-CN" w:bidi="ar-SA"/>
              </w:rPr>
            </w:pPr>
          </w:p>
        </w:tc>
        <w:tc>
          <w:tcPr>
            <w:tcW w:w="318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二十二、灾害防治及应急管理支出</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53</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cstheme="minorEastAsia"/>
                <w:i w:val="0"/>
                <w:iCs w:val="0"/>
                <w:color w:val="000000"/>
                <w:kern w:val="2"/>
                <w:sz w:val="20"/>
                <w:szCs w:val="20"/>
                <w:u w:val="none"/>
                <w:lang w:val="en-US" w:eastAsia="zh-CN" w:bidi="ar-SA"/>
              </w:rPr>
              <w:t>0.00</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kinsoku/>
              <w:wordWrap/>
              <w:overflowPunct/>
              <w:topLinePunct w:val="0"/>
              <w:autoSpaceDE/>
              <w:autoSpaceDN/>
              <w:bidi w:val="0"/>
              <w:adjustRightInd/>
              <w:snapToGrid w:val="0"/>
              <w:spacing w:line="240" w:lineRule="auto"/>
              <w:jc w:val="left"/>
              <w:rPr>
                <w:rFonts w:hint="eastAsia" w:asciiTheme="minorEastAsia" w:hAnsiTheme="minorEastAsia" w:eastAsiaTheme="minorEastAsia" w:cstheme="minorEastAsia"/>
                <w:i w:val="0"/>
                <w:iCs w:val="0"/>
                <w:color w:val="000000"/>
                <w:kern w:val="2"/>
                <w:sz w:val="20"/>
                <w:szCs w:val="20"/>
                <w:u w:val="none"/>
                <w:lang w:val="en-US" w:eastAsia="zh-CN" w:bidi="ar-SA"/>
              </w:rPr>
            </w:pP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23</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val="0"/>
              <w:spacing w:line="240" w:lineRule="auto"/>
              <w:jc w:val="right"/>
              <w:rPr>
                <w:rFonts w:hint="eastAsia" w:asciiTheme="minorEastAsia" w:hAnsiTheme="minorEastAsia" w:eastAsiaTheme="minorEastAsia" w:cstheme="minorEastAsia"/>
                <w:i w:val="0"/>
                <w:iCs w:val="0"/>
                <w:color w:val="000000"/>
                <w:kern w:val="2"/>
                <w:sz w:val="20"/>
                <w:szCs w:val="20"/>
                <w:u w:val="none"/>
                <w:lang w:val="en-US" w:eastAsia="zh-CN" w:bidi="ar-SA"/>
              </w:rPr>
            </w:pPr>
          </w:p>
        </w:tc>
        <w:tc>
          <w:tcPr>
            <w:tcW w:w="318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二十三、其他支出</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54</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cstheme="minorEastAsia"/>
                <w:i w:val="0"/>
                <w:iCs w:val="0"/>
                <w:color w:val="000000"/>
                <w:kern w:val="2"/>
                <w:sz w:val="20"/>
                <w:szCs w:val="20"/>
                <w:u w:val="none"/>
                <w:lang w:val="en-US" w:eastAsia="zh-CN" w:bidi="ar-SA"/>
              </w:rPr>
              <w:t>0.00</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eastAsia" w:asciiTheme="minorEastAsia" w:hAnsiTheme="minorEastAsia" w:eastAsiaTheme="minorEastAsia" w:cstheme="minorEastAsia"/>
                <w:b/>
                <w:bCs/>
                <w:i w:val="0"/>
                <w:iCs w:val="0"/>
                <w:color w:val="000000"/>
                <w:kern w:val="2"/>
                <w:sz w:val="20"/>
                <w:szCs w:val="20"/>
                <w:u w:val="none"/>
                <w:lang w:val="en-US" w:eastAsia="zh-CN" w:bidi="ar-SA"/>
              </w:rPr>
            </w:pP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24</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val="0"/>
              <w:spacing w:line="240" w:lineRule="auto"/>
              <w:jc w:val="right"/>
              <w:rPr>
                <w:rFonts w:hint="eastAsia" w:asciiTheme="minorEastAsia" w:hAnsiTheme="minorEastAsia" w:eastAsiaTheme="minorEastAsia" w:cstheme="minorEastAsia"/>
                <w:i w:val="0"/>
                <w:iCs w:val="0"/>
                <w:color w:val="000000"/>
                <w:kern w:val="2"/>
                <w:sz w:val="20"/>
                <w:szCs w:val="20"/>
                <w:u w:val="none"/>
                <w:lang w:val="en-US" w:eastAsia="zh-CN" w:bidi="ar-SA"/>
              </w:rPr>
            </w:pPr>
          </w:p>
        </w:tc>
        <w:tc>
          <w:tcPr>
            <w:tcW w:w="318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二十四、债务还本支出</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55</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cstheme="minorEastAsia"/>
                <w:i w:val="0"/>
                <w:iCs w:val="0"/>
                <w:color w:val="000000"/>
                <w:kern w:val="2"/>
                <w:sz w:val="20"/>
                <w:szCs w:val="20"/>
                <w:u w:val="none"/>
                <w:lang w:val="en-US" w:eastAsia="zh-CN" w:bidi="ar-SA"/>
              </w:rPr>
              <w:t>0.00</w:t>
            </w:r>
          </w:p>
        </w:tc>
      </w:tr>
      <w:tr>
        <w:tblPrEx>
          <w:tblCellMar>
            <w:top w:w="0" w:type="dxa"/>
            <w:left w:w="108" w:type="dxa"/>
            <w:bottom w:w="0" w:type="dxa"/>
            <w:right w:w="108" w:type="dxa"/>
          </w:tblCellMar>
        </w:tblPrEx>
        <w:trPr>
          <w:trHeight w:val="340" w:hRule="atLeast"/>
        </w:trPr>
        <w:tc>
          <w:tcPr>
            <w:tcW w:w="4039"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pageBreakBefore w:val="0"/>
              <w:kinsoku/>
              <w:wordWrap/>
              <w:overflowPunct/>
              <w:topLinePunct w:val="0"/>
              <w:autoSpaceDE/>
              <w:autoSpaceDN/>
              <w:bidi w:val="0"/>
              <w:adjustRightInd/>
              <w:snapToGrid w:val="0"/>
              <w:spacing w:line="240" w:lineRule="auto"/>
              <w:jc w:val="left"/>
              <w:rPr>
                <w:rFonts w:hint="eastAsia" w:asciiTheme="minorEastAsia" w:hAnsiTheme="minorEastAsia" w:eastAsiaTheme="minorEastAsia" w:cstheme="minorEastAsia"/>
                <w:i w:val="0"/>
                <w:iCs w:val="0"/>
                <w:color w:val="000000"/>
                <w:kern w:val="2"/>
                <w:sz w:val="20"/>
                <w:szCs w:val="20"/>
                <w:u w:val="none"/>
                <w:lang w:val="en-US" w:eastAsia="zh-CN" w:bidi="ar-SA"/>
              </w:rPr>
            </w:pPr>
          </w:p>
        </w:tc>
        <w:tc>
          <w:tcPr>
            <w:tcW w:w="671" w:type="dxa"/>
            <w:tcBorders>
              <w:top w:val="single" w:color="auto" w:sz="4" w:space="0"/>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25</w:t>
            </w:r>
          </w:p>
        </w:tc>
        <w:tc>
          <w:tcPr>
            <w:tcW w:w="1978" w:type="dxa"/>
            <w:gridSpan w:val="3"/>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val="0"/>
              <w:spacing w:line="240" w:lineRule="auto"/>
              <w:jc w:val="right"/>
              <w:rPr>
                <w:rFonts w:hint="eastAsia" w:asciiTheme="minorEastAsia" w:hAnsiTheme="minorEastAsia" w:eastAsiaTheme="minorEastAsia" w:cstheme="minorEastAsia"/>
                <w:i w:val="0"/>
                <w:iCs w:val="0"/>
                <w:color w:val="000000"/>
                <w:kern w:val="2"/>
                <w:sz w:val="20"/>
                <w:szCs w:val="20"/>
                <w:u w:val="none"/>
                <w:lang w:val="en-US" w:eastAsia="zh-CN" w:bidi="ar-SA"/>
              </w:rPr>
            </w:pPr>
          </w:p>
        </w:tc>
        <w:tc>
          <w:tcPr>
            <w:tcW w:w="3188" w:type="dxa"/>
            <w:tcBorders>
              <w:top w:val="single" w:color="auto" w:sz="4" w:space="0"/>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二十五、债务付息支出</w:t>
            </w:r>
          </w:p>
        </w:tc>
        <w:tc>
          <w:tcPr>
            <w:tcW w:w="644" w:type="dxa"/>
            <w:tcBorders>
              <w:top w:val="single" w:color="auto" w:sz="4" w:space="0"/>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56</w:t>
            </w:r>
          </w:p>
        </w:tc>
        <w:tc>
          <w:tcPr>
            <w:tcW w:w="3327" w:type="dxa"/>
            <w:gridSpan w:val="3"/>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cstheme="minorEastAsia"/>
                <w:i w:val="0"/>
                <w:iCs w:val="0"/>
                <w:color w:val="000000"/>
                <w:kern w:val="2"/>
                <w:sz w:val="20"/>
                <w:szCs w:val="20"/>
                <w:u w:val="none"/>
                <w:lang w:val="en-US" w:eastAsia="zh-CN" w:bidi="ar-SA"/>
              </w:rPr>
              <w:t>0.00</w:t>
            </w:r>
          </w:p>
        </w:tc>
      </w:tr>
      <w:tr>
        <w:tblPrEx>
          <w:tblCellMar>
            <w:top w:w="0" w:type="dxa"/>
            <w:left w:w="108" w:type="dxa"/>
            <w:bottom w:w="0" w:type="dxa"/>
            <w:right w:w="108" w:type="dxa"/>
          </w:tblCellMar>
        </w:tblPrEx>
        <w:trPr>
          <w:trHeight w:val="340" w:hRule="atLeast"/>
        </w:trPr>
        <w:tc>
          <w:tcPr>
            <w:tcW w:w="4039"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pageBreakBefore w:val="0"/>
              <w:kinsoku/>
              <w:wordWrap/>
              <w:overflowPunct/>
              <w:topLinePunct w:val="0"/>
              <w:autoSpaceDE/>
              <w:autoSpaceDN/>
              <w:bidi w:val="0"/>
              <w:adjustRightInd/>
              <w:snapToGrid w:val="0"/>
              <w:spacing w:line="240" w:lineRule="auto"/>
              <w:jc w:val="left"/>
              <w:rPr>
                <w:rFonts w:hint="eastAsia" w:asciiTheme="minorEastAsia" w:hAnsiTheme="minorEastAsia" w:eastAsiaTheme="minorEastAsia" w:cstheme="minorEastAsia"/>
                <w:i w:val="0"/>
                <w:iCs w:val="0"/>
                <w:color w:val="000000"/>
                <w:kern w:val="2"/>
                <w:sz w:val="20"/>
                <w:szCs w:val="20"/>
                <w:u w:val="none"/>
                <w:lang w:val="en-US" w:eastAsia="zh-CN" w:bidi="ar-SA"/>
              </w:rPr>
            </w:pPr>
          </w:p>
        </w:tc>
        <w:tc>
          <w:tcPr>
            <w:tcW w:w="671" w:type="dxa"/>
            <w:tcBorders>
              <w:top w:val="single" w:color="auto" w:sz="4" w:space="0"/>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26</w:t>
            </w:r>
          </w:p>
        </w:tc>
        <w:tc>
          <w:tcPr>
            <w:tcW w:w="1978" w:type="dxa"/>
            <w:gridSpan w:val="3"/>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val="0"/>
              <w:spacing w:line="240" w:lineRule="auto"/>
              <w:jc w:val="right"/>
              <w:rPr>
                <w:rFonts w:hint="eastAsia" w:asciiTheme="minorEastAsia" w:hAnsiTheme="minorEastAsia" w:eastAsiaTheme="minorEastAsia" w:cstheme="minorEastAsia"/>
                <w:i w:val="0"/>
                <w:iCs w:val="0"/>
                <w:color w:val="000000"/>
                <w:kern w:val="2"/>
                <w:sz w:val="20"/>
                <w:szCs w:val="20"/>
                <w:u w:val="none"/>
                <w:lang w:val="en-US" w:eastAsia="zh-CN" w:bidi="ar-SA"/>
              </w:rPr>
            </w:pPr>
          </w:p>
        </w:tc>
        <w:tc>
          <w:tcPr>
            <w:tcW w:w="3188" w:type="dxa"/>
            <w:tcBorders>
              <w:top w:val="single" w:color="auto" w:sz="4" w:space="0"/>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二十六、抗疫特别国债安排的支出</w:t>
            </w:r>
          </w:p>
        </w:tc>
        <w:tc>
          <w:tcPr>
            <w:tcW w:w="644" w:type="dxa"/>
            <w:tcBorders>
              <w:top w:val="single" w:color="auto" w:sz="4" w:space="0"/>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57</w:t>
            </w:r>
          </w:p>
        </w:tc>
        <w:tc>
          <w:tcPr>
            <w:tcW w:w="3327" w:type="dxa"/>
            <w:gridSpan w:val="3"/>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cstheme="minorEastAsia"/>
                <w:i w:val="0"/>
                <w:iCs w:val="0"/>
                <w:color w:val="000000"/>
                <w:kern w:val="2"/>
                <w:sz w:val="20"/>
                <w:szCs w:val="20"/>
                <w:u w:val="none"/>
                <w:lang w:val="en-US" w:eastAsia="zh-CN" w:bidi="ar-SA"/>
              </w:rPr>
            </w:pPr>
            <w:r>
              <w:rPr>
                <w:rFonts w:hint="eastAsia" w:asciiTheme="minorEastAsia" w:hAnsiTheme="minorEastAsia" w:cstheme="minorEastAsia"/>
                <w:i w:val="0"/>
                <w:iCs w:val="0"/>
                <w:color w:val="000000"/>
                <w:kern w:val="2"/>
                <w:sz w:val="20"/>
                <w:szCs w:val="20"/>
                <w:u w:val="none"/>
                <w:lang w:val="en-US" w:eastAsia="zh-CN" w:bidi="ar-SA"/>
              </w:rPr>
              <w:t>0.00</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b/>
                <w:bCs/>
                <w:i w:val="0"/>
                <w:iCs w:val="0"/>
                <w:color w:val="000000"/>
                <w:kern w:val="2"/>
                <w:sz w:val="20"/>
                <w:szCs w:val="20"/>
                <w:u w:val="none"/>
                <w:lang w:val="en-US" w:eastAsia="zh-CN" w:bidi="ar-SA"/>
              </w:rPr>
            </w:pPr>
            <w:r>
              <w:rPr>
                <w:rFonts w:hint="eastAsia" w:asciiTheme="minorEastAsia" w:hAnsiTheme="minorEastAsia" w:eastAsiaTheme="minorEastAsia" w:cstheme="minorEastAsia"/>
                <w:b/>
                <w:bCs/>
                <w:i w:val="0"/>
                <w:iCs w:val="0"/>
                <w:color w:val="000000"/>
                <w:kern w:val="0"/>
                <w:sz w:val="20"/>
                <w:szCs w:val="20"/>
                <w:u w:val="none"/>
                <w:lang w:val="en-US" w:eastAsia="zh-CN" w:bidi="ar"/>
              </w:rPr>
              <w:t>本年收入合计</w:t>
            </w: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27</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12,386.56</w:t>
            </w:r>
          </w:p>
        </w:tc>
        <w:tc>
          <w:tcPr>
            <w:tcW w:w="318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b/>
                <w:bCs/>
                <w:i w:val="0"/>
                <w:iCs w:val="0"/>
                <w:color w:val="000000"/>
                <w:kern w:val="2"/>
                <w:sz w:val="20"/>
                <w:szCs w:val="20"/>
                <w:u w:val="none"/>
                <w:lang w:val="en-US" w:eastAsia="zh-CN" w:bidi="ar-SA"/>
              </w:rPr>
            </w:pPr>
            <w:r>
              <w:rPr>
                <w:rFonts w:hint="eastAsia" w:asciiTheme="minorEastAsia" w:hAnsiTheme="minorEastAsia" w:eastAsiaTheme="minorEastAsia" w:cstheme="minorEastAsia"/>
                <w:b/>
                <w:bCs/>
                <w:i w:val="0"/>
                <w:iCs w:val="0"/>
                <w:color w:val="000000"/>
                <w:kern w:val="0"/>
                <w:sz w:val="20"/>
                <w:szCs w:val="20"/>
                <w:u w:val="none"/>
                <w:lang w:val="en-US" w:eastAsia="zh-CN" w:bidi="ar"/>
              </w:rPr>
              <w:t>本年支出合计</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58</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eastAsia" w:asciiTheme="minorEastAsia" w:hAnsiTheme="minorEastAsia" w:eastAsiaTheme="minorEastAsia" w:cstheme="minorEastAsia"/>
                <w:b/>
                <w:bCs/>
                <w:i w:val="0"/>
                <w:iCs w:val="0"/>
                <w:color w:val="000000"/>
                <w:kern w:val="2"/>
                <w:sz w:val="20"/>
                <w:szCs w:val="20"/>
                <w:u w:val="none"/>
                <w:lang w:val="en-US" w:eastAsia="zh-CN" w:bidi="ar-SA"/>
              </w:rPr>
            </w:pPr>
            <w:r>
              <w:rPr>
                <w:rFonts w:hint="eastAsia" w:asciiTheme="minorEastAsia" w:hAnsiTheme="minorEastAsia" w:eastAsiaTheme="minorEastAsia" w:cstheme="minorEastAsia"/>
                <w:b/>
                <w:bCs/>
                <w:i w:val="0"/>
                <w:iCs w:val="0"/>
                <w:color w:val="000000"/>
                <w:kern w:val="0"/>
                <w:sz w:val="20"/>
                <w:szCs w:val="20"/>
                <w:u w:val="none"/>
                <w:lang w:val="en-US" w:eastAsia="zh-CN" w:bidi="ar"/>
              </w:rPr>
              <w:t>9,736.86</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使用非财政拨款结余</w:t>
            </w: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28</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cstheme="minorEastAsia"/>
                <w:i w:val="0"/>
                <w:iCs w:val="0"/>
                <w:color w:val="000000"/>
                <w:kern w:val="2"/>
                <w:sz w:val="20"/>
                <w:szCs w:val="20"/>
                <w:u w:val="none"/>
                <w:lang w:val="en-US" w:eastAsia="zh-CN" w:bidi="ar-SA"/>
              </w:rPr>
              <w:t>0.00</w:t>
            </w:r>
          </w:p>
        </w:tc>
        <w:tc>
          <w:tcPr>
            <w:tcW w:w="318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结余分配</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59</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default"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cstheme="minorEastAsia"/>
                <w:i w:val="0"/>
                <w:iCs w:val="0"/>
                <w:color w:val="000000"/>
                <w:kern w:val="2"/>
                <w:sz w:val="20"/>
                <w:szCs w:val="20"/>
                <w:u w:val="none"/>
                <w:lang w:val="en-US" w:eastAsia="zh-CN" w:bidi="ar-SA"/>
              </w:rPr>
              <w:t>0.00</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年初结转和结余</w:t>
            </w: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29</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1,854.14</w:t>
            </w:r>
          </w:p>
        </w:tc>
        <w:tc>
          <w:tcPr>
            <w:tcW w:w="318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年末结转和结余</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4,503.84</w:t>
            </w: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30</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p>
        </w:tc>
        <w:tc>
          <w:tcPr>
            <w:tcW w:w="318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61</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40" w:hRule="atLeast"/>
        </w:trPr>
        <w:tc>
          <w:tcPr>
            <w:tcW w:w="4039"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Theme="minorEastAsia" w:hAnsiTheme="minorEastAsia" w:eastAsiaTheme="minorEastAsia" w:cstheme="minorEastAsia"/>
                <w:b/>
                <w:bCs/>
                <w:i w:val="0"/>
                <w:iCs w:val="0"/>
                <w:color w:val="000000"/>
                <w:kern w:val="2"/>
                <w:sz w:val="20"/>
                <w:szCs w:val="20"/>
                <w:u w:val="none"/>
                <w:lang w:val="en-US" w:eastAsia="zh-CN" w:bidi="ar-SA"/>
              </w:rPr>
            </w:pPr>
            <w:r>
              <w:rPr>
                <w:rFonts w:hint="eastAsia" w:asciiTheme="minorEastAsia" w:hAnsiTheme="minorEastAsia" w:eastAsiaTheme="minorEastAsia" w:cstheme="minorEastAsia"/>
                <w:b/>
                <w:bCs/>
                <w:i w:val="0"/>
                <w:iCs w:val="0"/>
                <w:color w:val="000000"/>
                <w:kern w:val="0"/>
                <w:sz w:val="20"/>
                <w:szCs w:val="20"/>
                <w:u w:val="none"/>
                <w:lang w:val="en-US" w:eastAsia="zh-CN" w:bidi="ar"/>
              </w:rPr>
              <w:t>总计</w:t>
            </w:r>
          </w:p>
        </w:tc>
        <w:tc>
          <w:tcPr>
            <w:tcW w:w="671"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31</w:t>
            </w:r>
          </w:p>
        </w:tc>
        <w:tc>
          <w:tcPr>
            <w:tcW w:w="1978"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14,240.70</w:t>
            </w:r>
          </w:p>
        </w:tc>
        <w:tc>
          <w:tcPr>
            <w:tcW w:w="318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Theme="minorEastAsia" w:hAnsiTheme="minorEastAsia" w:eastAsiaTheme="minorEastAsia" w:cstheme="minorEastAsia"/>
                <w:b/>
                <w:bCs/>
                <w:i w:val="0"/>
                <w:iCs w:val="0"/>
                <w:color w:val="000000"/>
                <w:kern w:val="2"/>
                <w:sz w:val="20"/>
                <w:szCs w:val="20"/>
                <w:u w:val="none"/>
                <w:lang w:val="en-US" w:eastAsia="zh-CN" w:bidi="ar-SA"/>
              </w:rPr>
            </w:pPr>
            <w:r>
              <w:rPr>
                <w:rFonts w:hint="eastAsia" w:asciiTheme="minorEastAsia" w:hAnsiTheme="minorEastAsia" w:eastAsiaTheme="minorEastAsia" w:cstheme="minorEastAsia"/>
                <w:b/>
                <w:bCs/>
                <w:i w:val="0"/>
                <w:iCs w:val="0"/>
                <w:color w:val="000000"/>
                <w:kern w:val="0"/>
                <w:sz w:val="20"/>
                <w:szCs w:val="20"/>
                <w:u w:val="none"/>
                <w:lang w:val="en-US" w:eastAsia="zh-CN" w:bidi="ar"/>
              </w:rPr>
              <w:t>总计</w:t>
            </w:r>
          </w:p>
        </w:tc>
        <w:tc>
          <w:tcPr>
            <w:tcW w:w="64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62</w:t>
            </w:r>
          </w:p>
        </w:tc>
        <w:tc>
          <w:tcPr>
            <w:tcW w:w="3327" w:type="dxa"/>
            <w:gridSpan w:val="3"/>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righ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14,240.70</w:t>
            </w:r>
          </w:p>
        </w:tc>
      </w:tr>
      <w:tr>
        <w:tblPrEx>
          <w:tblCellMar>
            <w:top w:w="0" w:type="dxa"/>
            <w:left w:w="108" w:type="dxa"/>
            <w:bottom w:w="0" w:type="dxa"/>
            <w:right w:w="108" w:type="dxa"/>
          </w:tblCellMar>
        </w:tblPrEx>
        <w:trPr>
          <w:trHeight w:val="1020" w:hRule="atLeast"/>
        </w:trPr>
        <w:tc>
          <w:tcPr>
            <w:tcW w:w="13847" w:type="dxa"/>
            <w:gridSpan w:val="10"/>
            <w:tcBorders>
              <w:top w:val="nil"/>
              <w:left w:val="nil"/>
              <w:bottom w:val="nil"/>
              <w:right w:val="nil"/>
            </w:tcBorders>
            <w:shd w:val="clear" w:color="auto" w:fill="auto"/>
            <w:vAlign w:val="center"/>
          </w:tcPr>
          <w:p>
            <w:pPr>
              <w:widowControl/>
              <w:jc w:val="left"/>
              <w:rPr>
                <w:rFonts w:hint="eastAsia" w:asciiTheme="minorEastAsia" w:hAnsiTheme="minorEastAsia" w:eastAsiaTheme="minorEastAsia" w:cstheme="minorEastAsia"/>
                <w:kern w:val="0"/>
                <w:sz w:val="20"/>
                <w:szCs w:val="20"/>
                <w:lang w:eastAsia="zh-CN"/>
              </w:rPr>
            </w:pPr>
            <w:r>
              <w:rPr>
                <w:rFonts w:hint="eastAsia" w:asciiTheme="minorEastAsia" w:hAnsiTheme="minorEastAsia" w:eastAsiaTheme="minorEastAsia" w:cstheme="minorEastAsia"/>
                <w:kern w:val="0"/>
                <w:sz w:val="20"/>
                <w:szCs w:val="20"/>
              </w:rPr>
              <w:t>注：1.本表反映部门本年度的总收支和年末结转结余情况。</w:t>
            </w:r>
          </w:p>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xml:space="preserve"> 2.本套报表金额单位转换时可能存在尾数误差。</w:t>
            </w:r>
          </w:p>
        </w:tc>
      </w:tr>
      <w:tr>
        <w:tblPrEx>
          <w:tblCellMar>
            <w:top w:w="0" w:type="dxa"/>
            <w:left w:w="108" w:type="dxa"/>
            <w:bottom w:w="0" w:type="dxa"/>
            <w:right w:w="108" w:type="dxa"/>
          </w:tblCellMar>
        </w:tblPrEx>
        <w:trPr>
          <w:trHeight w:val="1020" w:hRule="atLeast"/>
        </w:trPr>
        <w:tc>
          <w:tcPr>
            <w:tcW w:w="13847" w:type="dxa"/>
            <w:gridSpan w:val="10"/>
            <w:tcBorders>
              <w:top w:val="nil"/>
              <w:left w:val="nil"/>
              <w:bottom w:val="nil"/>
              <w:right w:val="nil"/>
            </w:tcBorders>
            <w:shd w:val="clear" w:color="auto" w:fill="auto"/>
            <w:vAlign w:val="center"/>
          </w:tcPr>
          <w:p>
            <w:pPr>
              <w:widowControl/>
              <w:jc w:val="left"/>
              <w:rPr>
                <w:rFonts w:hint="eastAsia" w:ascii="宋体" w:hAnsi="宋体" w:eastAsia="宋体" w:cs="宋体"/>
                <w:kern w:val="0"/>
                <w:sz w:val="24"/>
                <w:szCs w:val="24"/>
              </w:rPr>
            </w:pPr>
          </w:p>
        </w:tc>
      </w:tr>
    </w:tbl>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tbl>
      <w:tblPr>
        <w:tblStyle w:val="6"/>
        <w:tblW w:w="19175" w:type="dxa"/>
        <w:tblInd w:w="18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18"/>
        <w:gridCol w:w="2409"/>
        <w:gridCol w:w="329"/>
        <w:gridCol w:w="240"/>
        <w:gridCol w:w="663"/>
        <w:gridCol w:w="1555"/>
        <w:gridCol w:w="1487"/>
        <w:gridCol w:w="1458"/>
        <w:gridCol w:w="338"/>
        <w:gridCol w:w="930"/>
        <w:gridCol w:w="866"/>
        <w:gridCol w:w="266"/>
        <w:gridCol w:w="1114"/>
        <w:gridCol w:w="236"/>
        <w:gridCol w:w="1560"/>
        <w:gridCol w:w="1185"/>
        <w:gridCol w:w="1725"/>
        <w:gridCol w:w="17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17379" w:type="dxa"/>
            <w:gridSpan w:val="17"/>
            <w:tcBorders>
              <w:top w:val="nil"/>
              <w:left w:val="nil"/>
              <w:bottom w:val="nil"/>
              <w:right w:val="nil"/>
            </w:tcBorders>
            <w:shd w:val="clear" w:color="auto" w:fill="FFFFFF"/>
            <w:noWrap/>
            <w:vAlign w:val="center"/>
          </w:tcPr>
          <w:p>
            <w:pPr>
              <w:ind w:firstLine="6400" w:firstLineChars="2000"/>
              <w:jc w:val="both"/>
              <w:rPr>
                <w:rFonts w:hint="eastAsia" w:ascii="宋体" w:hAnsi="宋体" w:eastAsia="宋体" w:cs="宋体"/>
                <w:i w:val="0"/>
                <w:iCs w:val="0"/>
                <w:color w:val="000000"/>
                <w:sz w:val="18"/>
                <w:szCs w:val="18"/>
                <w:u w:val="none"/>
              </w:rPr>
            </w:pPr>
            <w:r>
              <w:rPr>
                <w:rFonts w:hint="eastAsia" w:ascii="华文中宋" w:hAnsi="华文中宋" w:eastAsia="华文中宋" w:cstheme="minorBidi"/>
                <w:color w:val="000000"/>
                <w:kern w:val="2"/>
                <w:sz w:val="32"/>
                <w:szCs w:val="32"/>
                <w:lang w:val="en-US" w:eastAsia="zh-CN" w:bidi="ar-SA"/>
              </w:rPr>
              <w:t>收入决算表</w:t>
            </w:r>
          </w:p>
        </w:tc>
        <w:tc>
          <w:tcPr>
            <w:tcW w:w="1796" w:type="dxa"/>
            <w:tcBorders>
              <w:top w:val="nil"/>
              <w:left w:val="nil"/>
              <w:bottom w:val="nil"/>
              <w:right w:val="single" w:color="808080" w:sz="4" w:space="0"/>
            </w:tcBorders>
            <w:shd w:val="clear" w:color="auto" w:fill="FFFFFF"/>
            <w:noWrap/>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27" w:type="dxa"/>
            <w:gridSpan w:val="2"/>
            <w:tcBorders>
              <w:top w:val="nil"/>
              <w:left w:val="nil"/>
              <w:bottom w:val="nil"/>
              <w:right w:val="nil"/>
            </w:tcBorders>
            <w:shd w:val="clear" w:color="auto" w:fill="FFFFFF"/>
            <w:noWrap/>
            <w:vAlign w:val="center"/>
          </w:tcPr>
          <w:p>
            <w:pPr>
              <w:jc w:val="left"/>
              <w:rPr>
                <w:rFonts w:hint="eastAsia" w:asciiTheme="minorEastAsia" w:hAnsiTheme="minorEastAsia" w:eastAsiaTheme="minorEastAsia" w:cstheme="minorEastAsia"/>
                <w:i w:val="0"/>
                <w:iCs w:val="0"/>
                <w:color w:val="000000"/>
                <w:sz w:val="20"/>
                <w:szCs w:val="20"/>
                <w:u w:val="none"/>
              </w:rPr>
            </w:pPr>
          </w:p>
        </w:tc>
        <w:tc>
          <w:tcPr>
            <w:tcW w:w="329" w:type="dxa"/>
            <w:tcBorders>
              <w:top w:val="nil"/>
              <w:left w:val="nil"/>
              <w:bottom w:val="nil"/>
              <w:right w:val="nil"/>
            </w:tcBorders>
            <w:shd w:val="clear" w:color="auto" w:fill="FFFFFF"/>
            <w:noWrap/>
            <w:vAlign w:val="center"/>
          </w:tcPr>
          <w:p>
            <w:pPr>
              <w:jc w:val="left"/>
              <w:rPr>
                <w:rFonts w:hint="eastAsia" w:asciiTheme="minorEastAsia" w:hAnsiTheme="minorEastAsia" w:eastAsiaTheme="minorEastAsia" w:cstheme="minorEastAsia"/>
                <w:i w:val="0"/>
                <w:iCs w:val="0"/>
                <w:color w:val="000000"/>
                <w:sz w:val="20"/>
                <w:szCs w:val="20"/>
                <w:u w:val="none"/>
              </w:rPr>
            </w:pPr>
          </w:p>
        </w:tc>
        <w:tc>
          <w:tcPr>
            <w:tcW w:w="240" w:type="dxa"/>
            <w:tcBorders>
              <w:top w:val="nil"/>
              <w:left w:val="nil"/>
              <w:bottom w:val="nil"/>
              <w:right w:val="nil"/>
            </w:tcBorders>
            <w:shd w:val="clear" w:color="auto" w:fill="FFFFFF"/>
            <w:noWrap/>
            <w:vAlign w:val="center"/>
          </w:tcPr>
          <w:p>
            <w:pPr>
              <w:jc w:val="left"/>
              <w:rPr>
                <w:rFonts w:hint="eastAsia" w:asciiTheme="minorEastAsia" w:hAnsiTheme="minorEastAsia" w:eastAsiaTheme="minorEastAsia" w:cstheme="minorEastAsia"/>
                <w:i w:val="0"/>
                <w:iCs w:val="0"/>
                <w:color w:val="000000"/>
                <w:sz w:val="20"/>
                <w:szCs w:val="20"/>
                <w:u w:val="none"/>
              </w:rPr>
            </w:pPr>
          </w:p>
        </w:tc>
        <w:tc>
          <w:tcPr>
            <w:tcW w:w="3705" w:type="dxa"/>
            <w:gridSpan w:val="3"/>
            <w:tcBorders>
              <w:top w:val="nil"/>
              <w:left w:val="nil"/>
              <w:bottom w:val="nil"/>
              <w:right w:val="nil"/>
            </w:tcBorders>
            <w:shd w:val="clear" w:color="auto" w:fill="FFFFFF"/>
            <w:noWrap/>
            <w:vAlign w:val="center"/>
          </w:tcPr>
          <w:p>
            <w:pPr>
              <w:jc w:val="left"/>
              <w:rPr>
                <w:rFonts w:hint="eastAsia" w:asciiTheme="minorEastAsia" w:hAnsiTheme="minorEastAsia" w:eastAsiaTheme="minorEastAsia" w:cstheme="minorEastAsia"/>
                <w:i w:val="0"/>
                <w:iCs w:val="0"/>
                <w:color w:val="000000"/>
                <w:sz w:val="20"/>
                <w:szCs w:val="20"/>
                <w:u w:val="none"/>
              </w:rPr>
            </w:pPr>
          </w:p>
        </w:tc>
        <w:tc>
          <w:tcPr>
            <w:tcW w:w="1796" w:type="dxa"/>
            <w:gridSpan w:val="2"/>
            <w:tcBorders>
              <w:top w:val="nil"/>
              <w:left w:val="nil"/>
              <w:bottom w:val="nil"/>
              <w:right w:val="nil"/>
            </w:tcBorders>
            <w:shd w:val="clear" w:color="auto" w:fill="FFFFFF"/>
            <w:noWrap/>
            <w:vAlign w:val="center"/>
          </w:tcPr>
          <w:p>
            <w:pPr>
              <w:jc w:val="left"/>
              <w:rPr>
                <w:rFonts w:hint="eastAsia" w:asciiTheme="minorEastAsia" w:hAnsiTheme="minorEastAsia" w:eastAsiaTheme="minorEastAsia" w:cstheme="minorEastAsia"/>
                <w:i w:val="0"/>
                <w:iCs w:val="0"/>
                <w:color w:val="000000"/>
                <w:sz w:val="20"/>
                <w:szCs w:val="20"/>
                <w:u w:val="none"/>
              </w:rPr>
            </w:pPr>
          </w:p>
        </w:tc>
        <w:tc>
          <w:tcPr>
            <w:tcW w:w="1796" w:type="dxa"/>
            <w:gridSpan w:val="2"/>
            <w:tcBorders>
              <w:top w:val="nil"/>
              <w:left w:val="nil"/>
              <w:bottom w:val="nil"/>
              <w:right w:val="nil"/>
            </w:tcBorders>
            <w:shd w:val="clear" w:color="auto" w:fill="FFFFFF"/>
            <w:noWrap/>
            <w:vAlign w:val="center"/>
          </w:tcPr>
          <w:p>
            <w:pPr>
              <w:jc w:val="left"/>
              <w:rPr>
                <w:rFonts w:hint="eastAsia" w:asciiTheme="minorEastAsia" w:hAnsiTheme="minorEastAsia" w:eastAsiaTheme="minorEastAsia" w:cstheme="minorEastAsia"/>
                <w:i w:val="0"/>
                <w:iCs w:val="0"/>
                <w:color w:val="000000"/>
                <w:sz w:val="20"/>
                <w:szCs w:val="20"/>
                <w:u w:val="none"/>
              </w:rPr>
            </w:pPr>
          </w:p>
        </w:tc>
        <w:tc>
          <w:tcPr>
            <w:tcW w:w="1380" w:type="dxa"/>
            <w:gridSpan w:val="2"/>
            <w:tcBorders>
              <w:top w:val="nil"/>
              <w:left w:val="nil"/>
              <w:bottom w:val="nil"/>
              <w:right w:val="nil"/>
            </w:tcBorders>
            <w:shd w:val="clear" w:color="auto" w:fill="FFFFFF"/>
            <w:noWrap/>
            <w:vAlign w:val="center"/>
          </w:tcPr>
          <w:p>
            <w:pPr>
              <w:jc w:val="left"/>
              <w:rPr>
                <w:rFonts w:hint="eastAsia" w:asciiTheme="minorEastAsia" w:hAnsiTheme="minorEastAsia" w:eastAsiaTheme="minorEastAsia" w:cstheme="minorEastAsia"/>
                <w:i w:val="0"/>
                <w:iCs w:val="0"/>
                <w:color w:val="000000"/>
                <w:sz w:val="20"/>
                <w:szCs w:val="20"/>
                <w:u w:val="none"/>
              </w:rPr>
            </w:pPr>
          </w:p>
        </w:tc>
        <w:tc>
          <w:tcPr>
            <w:tcW w:w="1796" w:type="dxa"/>
            <w:gridSpan w:val="2"/>
            <w:tcBorders>
              <w:top w:val="nil"/>
              <w:left w:val="nil"/>
              <w:bottom w:val="nil"/>
              <w:right w:val="nil"/>
            </w:tcBorders>
            <w:shd w:val="clear" w:color="auto" w:fill="FFFFFF"/>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sz w:val="20"/>
                <w:szCs w:val="20"/>
                <w:u w:val="none"/>
                <w:lang w:eastAsia="zh-CN"/>
              </w:rPr>
              <w:t>公开</w:t>
            </w:r>
            <w:r>
              <w:rPr>
                <w:rFonts w:hint="eastAsia" w:asciiTheme="minorEastAsia" w:hAnsiTheme="minorEastAsia" w:eastAsiaTheme="minorEastAsia" w:cstheme="minorEastAsia"/>
                <w:i w:val="0"/>
                <w:iCs w:val="0"/>
                <w:color w:val="000000"/>
                <w:sz w:val="20"/>
                <w:szCs w:val="20"/>
                <w:u w:val="none"/>
                <w:lang w:val="en-US" w:eastAsia="zh-CN"/>
              </w:rPr>
              <w:t>02表</w:t>
            </w:r>
          </w:p>
        </w:tc>
        <w:tc>
          <w:tcPr>
            <w:tcW w:w="1185" w:type="dxa"/>
            <w:tcBorders>
              <w:top w:val="nil"/>
              <w:left w:val="nil"/>
              <w:bottom w:val="nil"/>
              <w:right w:val="nil"/>
            </w:tcBorders>
            <w:shd w:val="clear" w:color="auto" w:fill="FFFFFF"/>
            <w:noWrap/>
            <w:vAlign w:val="center"/>
          </w:tcPr>
          <w:p>
            <w:pPr>
              <w:jc w:val="left"/>
              <w:rPr>
                <w:rFonts w:hint="eastAsia" w:asciiTheme="minorEastAsia" w:hAnsiTheme="minorEastAsia" w:eastAsiaTheme="minorEastAsia" w:cstheme="minorEastAsia"/>
                <w:i w:val="0"/>
                <w:iCs w:val="0"/>
                <w:color w:val="000000"/>
                <w:sz w:val="20"/>
                <w:szCs w:val="20"/>
                <w:u w:val="none"/>
              </w:rPr>
            </w:pPr>
          </w:p>
        </w:tc>
        <w:tc>
          <w:tcPr>
            <w:tcW w:w="1725" w:type="dxa"/>
            <w:tcBorders>
              <w:top w:val="nil"/>
              <w:left w:val="nil"/>
              <w:bottom w:val="nil"/>
              <w:right w:val="nil"/>
            </w:tcBorders>
            <w:shd w:val="clear" w:color="auto" w:fill="FFFFFF"/>
            <w:noWrap/>
            <w:vAlign w:val="center"/>
          </w:tcPr>
          <w:p>
            <w:pPr>
              <w:jc w:val="left"/>
              <w:rPr>
                <w:rFonts w:hint="eastAsia" w:asciiTheme="minorEastAsia" w:hAnsiTheme="minorEastAsia" w:eastAsiaTheme="minorEastAsia" w:cstheme="minorEastAsia"/>
                <w:i w:val="0"/>
                <w:iCs w:val="0"/>
                <w:color w:val="000000"/>
                <w:sz w:val="20"/>
                <w:szCs w:val="20"/>
                <w:u w:val="none"/>
              </w:rPr>
            </w:pPr>
          </w:p>
        </w:tc>
        <w:tc>
          <w:tcPr>
            <w:tcW w:w="1796" w:type="dxa"/>
            <w:tcBorders>
              <w:top w:val="nil"/>
              <w:left w:val="nil"/>
              <w:bottom w:val="nil"/>
              <w:right w:val="single" w:color="808080" w:sz="4" w:space="0"/>
            </w:tcBorders>
            <w:shd w:val="clear" w:color="auto" w:fill="FFFFFF"/>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27" w:type="dxa"/>
            <w:gridSpan w:val="2"/>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部门：湖南省环境保护科学研究院</w:t>
            </w:r>
          </w:p>
        </w:tc>
        <w:tc>
          <w:tcPr>
            <w:tcW w:w="329" w:type="dxa"/>
            <w:tcBorders>
              <w:top w:val="nil"/>
              <w:left w:val="nil"/>
              <w:bottom w:val="nil"/>
              <w:right w:val="nil"/>
            </w:tcBorders>
            <w:shd w:val="clear" w:color="auto" w:fill="FFFFFF"/>
            <w:noWrap/>
            <w:vAlign w:val="center"/>
          </w:tcPr>
          <w:p>
            <w:pPr>
              <w:jc w:val="left"/>
              <w:rPr>
                <w:rFonts w:hint="eastAsia" w:asciiTheme="minorEastAsia" w:hAnsiTheme="minorEastAsia" w:eastAsiaTheme="minorEastAsia" w:cstheme="minorEastAsia"/>
                <w:i w:val="0"/>
                <w:iCs w:val="0"/>
                <w:color w:val="000000"/>
                <w:sz w:val="20"/>
                <w:szCs w:val="20"/>
                <w:u w:val="none"/>
              </w:rPr>
            </w:pPr>
          </w:p>
        </w:tc>
        <w:tc>
          <w:tcPr>
            <w:tcW w:w="240" w:type="dxa"/>
            <w:tcBorders>
              <w:top w:val="nil"/>
              <w:left w:val="nil"/>
              <w:bottom w:val="nil"/>
              <w:right w:val="nil"/>
            </w:tcBorders>
            <w:shd w:val="clear" w:color="auto" w:fill="FFFFFF"/>
            <w:noWrap/>
            <w:vAlign w:val="center"/>
          </w:tcPr>
          <w:p>
            <w:pPr>
              <w:jc w:val="left"/>
              <w:rPr>
                <w:rFonts w:hint="eastAsia" w:asciiTheme="minorEastAsia" w:hAnsiTheme="minorEastAsia" w:eastAsiaTheme="minorEastAsia" w:cstheme="minorEastAsia"/>
                <w:i w:val="0"/>
                <w:iCs w:val="0"/>
                <w:color w:val="000000"/>
                <w:sz w:val="20"/>
                <w:szCs w:val="20"/>
                <w:u w:val="none"/>
              </w:rPr>
            </w:pPr>
          </w:p>
        </w:tc>
        <w:tc>
          <w:tcPr>
            <w:tcW w:w="3705" w:type="dxa"/>
            <w:gridSpan w:val="3"/>
            <w:tcBorders>
              <w:top w:val="nil"/>
              <w:left w:val="nil"/>
              <w:bottom w:val="nil"/>
              <w:right w:val="nil"/>
            </w:tcBorders>
            <w:shd w:val="clear" w:color="auto" w:fill="FFFFFF"/>
            <w:noWrap/>
            <w:vAlign w:val="center"/>
          </w:tcPr>
          <w:p>
            <w:pPr>
              <w:jc w:val="left"/>
              <w:rPr>
                <w:rFonts w:hint="eastAsia" w:asciiTheme="minorEastAsia" w:hAnsiTheme="minorEastAsia" w:eastAsiaTheme="minorEastAsia" w:cstheme="minorEastAsia"/>
                <w:i w:val="0"/>
                <w:iCs w:val="0"/>
                <w:color w:val="000000"/>
                <w:sz w:val="20"/>
                <w:szCs w:val="20"/>
                <w:u w:val="none"/>
              </w:rPr>
            </w:pPr>
          </w:p>
        </w:tc>
        <w:tc>
          <w:tcPr>
            <w:tcW w:w="1796" w:type="dxa"/>
            <w:gridSpan w:val="2"/>
            <w:tcBorders>
              <w:top w:val="nil"/>
              <w:left w:val="nil"/>
              <w:bottom w:val="nil"/>
              <w:right w:val="nil"/>
            </w:tcBorders>
            <w:shd w:val="clear" w:color="auto" w:fill="FFFFFF"/>
            <w:noWrap/>
            <w:vAlign w:val="center"/>
          </w:tcPr>
          <w:p>
            <w:pPr>
              <w:jc w:val="left"/>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eastAsiaTheme="minorEastAsia" w:cstheme="minorEastAsia"/>
                <w:i w:val="0"/>
                <w:iCs w:val="0"/>
                <w:color w:val="000000"/>
                <w:sz w:val="20"/>
                <w:szCs w:val="20"/>
                <w:u w:val="none"/>
                <w:lang w:val="en-US" w:eastAsia="zh-CN"/>
              </w:rPr>
              <w:t>2021年度</w:t>
            </w:r>
          </w:p>
        </w:tc>
        <w:tc>
          <w:tcPr>
            <w:tcW w:w="1796" w:type="dxa"/>
            <w:gridSpan w:val="2"/>
            <w:tcBorders>
              <w:top w:val="nil"/>
              <w:left w:val="nil"/>
              <w:bottom w:val="nil"/>
              <w:right w:val="nil"/>
            </w:tcBorders>
            <w:shd w:val="clear" w:color="auto"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p>
        </w:tc>
        <w:tc>
          <w:tcPr>
            <w:tcW w:w="1380" w:type="dxa"/>
            <w:gridSpan w:val="2"/>
            <w:tcBorders>
              <w:top w:val="nil"/>
              <w:left w:val="nil"/>
              <w:bottom w:val="nil"/>
              <w:right w:val="nil"/>
            </w:tcBorders>
            <w:shd w:val="clear" w:color="auto" w:fill="FFFFFF"/>
            <w:noWrap/>
            <w:vAlign w:val="center"/>
          </w:tcPr>
          <w:p>
            <w:pPr>
              <w:jc w:val="left"/>
              <w:rPr>
                <w:rFonts w:hint="eastAsia" w:asciiTheme="minorEastAsia" w:hAnsiTheme="minorEastAsia" w:eastAsiaTheme="minorEastAsia" w:cstheme="minorEastAsia"/>
                <w:i w:val="0"/>
                <w:iCs w:val="0"/>
                <w:color w:val="000000"/>
                <w:sz w:val="20"/>
                <w:szCs w:val="20"/>
                <w:u w:val="none"/>
              </w:rPr>
            </w:pPr>
          </w:p>
        </w:tc>
        <w:tc>
          <w:tcPr>
            <w:tcW w:w="1796" w:type="dxa"/>
            <w:gridSpan w:val="2"/>
            <w:tcBorders>
              <w:top w:val="nil"/>
              <w:left w:val="nil"/>
              <w:bottom w:val="nil"/>
              <w:right w:val="nil"/>
            </w:tcBorders>
            <w:shd w:val="clear" w:color="auto" w:fill="FFFFFF"/>
            <w:noWrap/>
            <w:vAlign w:val="center"/>
          </w:tcPr>
          <w:p>
            <w:pPr>
              <w:jc w:val="right"/>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单位：万元</w:t>
            </w:r>
          </w:p>
        </w:tc>
        <w:tc>
          <w:tcPr>
            <w:tcW w:w="1185" w:type="dxa"/>
            <w:tcBorders>
              <w:top w:val="nil"/>
              <w:left w:val="nil"/>
              <w:bottom w:val="nil"/>
              <w:right w:val="nil"/>
            </w:tcBorders>
            <w:shd w:val="clear" w:color="auto" w:fill="FFFFFF"/>
            <w:noWrap/>
            <w:vAlign w:val="center"/>
          </w:tcPr>
          <w:p>
            <w:pPr>
              <w:jc w:val="left"/>
              <w:rPr>
                <w:rFonts w:hint="eastAsia" w:asciiTheme="minorEastAsia" w:hAnsiTheme="minorEastAsia" w:eastAsiaTheme="minorEastAsia" w:cstheme="minorEastAsia"/>
                <w:i w:val="0"/>
                <w:iCs w:val="0"/>
                <w:color w:val="000000"/>
                <w:sz w:val="20"/>
                <w:szCs w:val="20"/>
                <w:u w:val="none"/>
                <w:lang w:val="en-US" w:eastAsia="zh-CN"/>
              </w:rPr>
            </w:pPr>
          </w:p>
        </w:tc>
        <w:tc>
          <w:tcPr>
            <w:tcW w:w="1725" w:type="dxa"/>
            <w:tcBorders>
              <w:top w:val="nil"/>
              <w:left w:val="nil"/>
              <w:bottom w:val="nil"/>
              <w:right w:val="nil"/>
            </w:tcBorders>
            <w:shd w:val="clear" w:color="auto" w:fill="FFFFFF"/>
            <w:noWrap/>
            <w:vAlign w:val="center"/>
          </w:tcPr>
          <w:p>
            <w:pPr>
              <w:jc w:val="left"/>
              <w:rPr>
                <w:rFonts w:hint="eastAsia" w:asciiTheme="minorEastAsia" w:hAnsiTheme="minorEastAsia" w:eastAsiaTheme="minorEastAsia" w:cstheme="minorEastAsia"/>
                <w:i w:val="0"/>
                <w:iCs w:val="0"/>
                <w:color w:val="000000"/>
                <w:sz w:val="20"/>
                <w:szCs w:val="20"/>
                <w:u w:val="none"/>
              </w:rPr>
            </w:pPr>
          </w:p>
        </w:tc>
        <w:tc>
          <w:tcPr>
            <w:tcW w:w="1796" w:type="dxa"/>
            <w:tcBorders>
              <w:top w:val="nil"/>
              <w:left w:val="nil"/>
              <w:bottom w:val="single" w:color="808080" w:sz="4" w:space="0"/>
              <w:right w:val="single" w:color="808080" w:sz="4" w:space="0"/>
            </w:tcBorders>
            <w:shd w:val="clear" w:color="auto" w:fill="FFFFFF"/>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金额单位：元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4659"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项目</w:t>
            </w:r>
          </w:p>
        </w:tc>
        <w:tc>
          <w:tcPr>
            <w:tcW w:w="1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本年收入合计</w:t>
            </w:r>
          </w:p>
        </w:tc>
        <w:tc>
          <w:tcPr>
            <w:tcW w:w="14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财政拨款收入</w:t>
            </w: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上级补助收入</w:t>
            </w:r>
          </w:p>
        </w:tc>
        <w:tc>
          <w:tcPr>
            <w:tcW w:w="126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事业收入</w:t>
            </w:r>
          </w:p>
        </w:tc>
        <w:tc>
          <w:tcPr>
            <w:tcW w:w="113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经营收入</w:t>
            </w:r>
          </w:p>
        </w:tc>
        <w:tc>
          <w:tcPr>
            <w:tcW w:w="13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附属单位上缴收入</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功能分类科目编码</w:t>
            </w:r>
          </w:p>
        </w:tc>
        <w:tc>
          <w:tcPr>
            <w:tcW w:w="3641" w:type="dxa"/>
            <w:gridSpan w:val="4"/>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科目名称</w:t>
            </w:r>
          </w:p>
        </w:tc>
        <w:tc>
          <w:tcPr>
            <w:tcW w:w="1555"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1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1458"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1268" w:type="dxa"/>
            <w:gridSpan w:val="2"/>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1132" w:type="dxa"/>
            <w:gridSpan w:val="2"/>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1350" w:type="dxa"/>
            <w:gridSpan w:val="2"/>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156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3641" w:type="dxa"/>
            <w:gridSpan w:val="4"/>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1555"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1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1458"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1268" w:type="dxa"/>
            <w:gridSpan w:val="2"/>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1132" w:type="dxa"/>
            <w:gridSpan w:val="2"/>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1350" w:type="dxa"/>
            <w:gridSpan w:val="2"/>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156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16" w:hRule="atLeast"/>
        </w:trPr>
        <w:tc>
          <w:tcPr>
            <w:tcW w:w="4659"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栏次</w:t>
            </w:r>
          </w:p>
        </w:tc>
        <w:tc>
          <w:tcPr>
            <w:tcW w:w="15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14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145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1268"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113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135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56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26" w:hRule="atLeast"/>
        </w:trPr>
        <w:tc>
          <w:tcPr>
            <w:tcW w:w="4659" w:type="dxa"/>
            <w:gridSpan w:val="5"/>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合计</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12,386.56</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3,404.60</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b w:val="0"/>
                <w:bCs w:val="0"/>
                <w:i w:val="0"/>
                <w:iCs w:val="0"/>
                <w:color w:val="000000"/>
                <w:sz w:val="20"/>
                <w:szCs w:val="20"/>
                <w:u w:val="none"/>
                <w:lang w:val="en-US" w:eastAsia="zh-CN"/>
              </w:rPr>
            </w:pPr>
            <w:r>
              <w:rPr>
                <w:rFonts w:hint="eastAsia" w:asciiTheme="minorEastAsia" w:hAnsiTheme="minorEastAsia" w:cstheme="minorEastAsia"/>
                <w:b w:val="0"/>
                <w:bCs w:val="0"/>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8,828.78</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153.19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79"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206</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科学技术支出</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10,217.77</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1,235.81</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b/>
                <w:bCs/>
                <w:i w:val="0"/>
                <w:iCs w:val="0"/>
                <w:color w:val="000000"/>
                <w:sz w:val="20"/>
                <w:szCs w:val="20"/>
                <w:u w:val="none"/>
                <w:lang w:val="en-US" w:eastAsia="zh-CN"/>
              </w:rPr>
            </w:pPr>
            <w:r>
              <w:rPr>
                <w:rFonts w:hint="eastAsia" w:asciiTheme="minorEastAsia" w:hAnsiTheme="minorEastAsia" w:cstheme="minorEastAsia"/>
                <w:b/>
                <w:bCs/>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8,828.78</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153.19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20603</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应用研究</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9,849.37 </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867.41 </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b/>
                <w:bCs/>
                <w:i w:val="0"/>
                <w:iCs w:val="0"/>
                <w:color w:val="000000"/>
                <w:sz w:val="20"/>
                <w:szCs w:val="20"/>
                <w:u w:val="none"/>
                <w:lang w:val="en-US" w:eastAsia="zh-CN"/>
              </w:rPr>
            </w:pPr>
            <w:r>
              <w:rPr>
                <w:rFonts w:hint="eastAsia" w:asciiTheme="minorEastAsia" w:hAnsiTheme="minorEastAsia" w:cstheme="minorEastAsia"/>
                <w:b/>
                <w:bCs/>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8,828.78 </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153.19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2060301</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机构运行</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2,740.28 </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850.52 </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b w:val="0"/>
                <w:bCs w:val="0"/>
                <w:i w:val="0"/>
                <w:iCs w:val="0"/>
                <w:color w:val="000000"/>
                <w:sz w:val="20"/>
                <w:szCs w:val="20"/>
                <w:u w:val="none"/>
                <w:lang w:val="en-US" w:eastAsia="zh-CN"/>
              </w:rPr>
            </w:pPr>
            <w:r>
              <w:rPr>
                <w:rFonts w:hint="eastAsia" w:asciiTheme="minorEastAsia" w:hAnsiTheme="minorEastAsia" w:cstheme="minorEastAsia"/>
                <w:b w:val="0"/>
                <w:bCs w:val="0"/>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1,889.76 </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kern w:val="0"/>
                <w:sz w:val="20"/>
                <w:szCs w:val="20"/>
                <w:u w:val="none"/>
                <w:lang w:val="en-US" w:eastAsia="zh-CN" w:bidi="ar"/>
              </w:rPr>
              <w:t>0.00</w:t>
            </w: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2060302</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社会公益研究</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7,109.09 </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16.89 </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b w:val="0"/>
                <w:bCs w:val="0"/>
                <w:i w:val="0"/>
                <w:iCs w:val="0"/>
                <w:color w:val="000000"/>
                <w:sz w:val="20"/>
                <w:szCs w:val="20"/>
                <w:u w:val="none"/>
                <w:lang w:val="en-US" w:eastAsia="zh-CN"/>
              </w:rPr>
            </w:pPr>
            <w:r>
              <w:rPr>
                <w:rFonts w:hint="eastAsia" w:asciiTheme="minorEastAsia" w:hAnsiTheme="minorEastAsia" w:cstheme="minorEastAsia"/>
                <w:b w:val="0"/>
                <w:bCs w:val="0"/>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6,939.02 </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153.19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20605</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科技条件与服务</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60.00 </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60.00 </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cstheme="minorEastAsia"/>
                <w:b/>
                <w:bCs/>
                <w:i w:val="0"/>
                <w:iCs w:val="0"/>
                <w:color w:val="000000"/>
                <w:sz w:val="20"/>
                <w:szCs w:val="20"/>
                <w:u w:val="none"/>
                <w:lang w:val="en-US" w:eastAsia="zh-CN"/>
              </w:rPr>
            </w:pPr>
            <w:r>
              <w:rPr>
                <w:rFonts w:hint="eastAsia" w:asciiTheme="minorEastAsia" w:hAnsiTheme="minorEastAsia" w:cstheme="minorEastAsia"/>
                <w:b/>
                <w:bCs/>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b/>
                <w:bCs/>
                <w:i w:val="0"/>
                <w:iCs w:val="0"/>
                <w:color w:val="000000"/>
                <w:sz w:val="20"/>
                <w:szCs w:val="20"/>
                <w:u w:val="none"/>
                <w:lang w:val="en-US" w:eastAsia="zh-CN"/>
              </w:rPr>
            </w:pPr>
            <w:r>
              <w:rPr>
                <w:rFonts w:hint="eastAsia" w:asciiTheme="minorEastAsia" w:hAnsiTheme="minorEastAsia" w:cstheme="minorEastAsia"/>
                <w:b/>
                <w:bCs/>
                <w:i w:val="0"/>
                <w:iCs w:val="0"/>
                <w:color w:val="000000"/>
                <w:sz w:val="20"/>
                <w:szCs w:val="20"/>
                <w:u w:val="none"/>
                <w:lang w:val="en-US" w:eastAsia="zh-CN"/>
              </w:rPr>
              <w:t>0.00</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b/>
                <w:bCs/>
                <w:i w:val="0"/>
                <w:iCs w:val="0"/>
                <w:color w:val="000000"/>
                <w:sz w:val="20"/>
                <w:szCs w:val="20"/>
                <w:u w:val="none"/>
                <w:lang w:val="en-US" w:eastAsia="zh-CN"/>
              </w:rPr>
            </w:pPr>
            <w:r>
              <w:rPr>
                <w:rFonts w:hint="eastAsia" w:asciiTheme="minorEastAsia" w:hAnsiTheme="minorEastAsia" w:cstheme="minorEastAsia"/>
                <w:b/>
                <w:bCs/>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2060599</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其他科技条件与服务支出</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60.00 </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60.00 </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b w:val="0"/>
                <w:bCs w:val="0"/>
                <w:i w:val="0"/>
                <w:iCs w:val="0"/>
                <w:color w:val="000000"/>
                <w:sz w:val="20"/>
                <w:szCs w:val="20"/>
                <w:u w:val="none"/>
                <w:lang w:val="en-US" w:eastAsia="zh-CN"/>
              </w:rPr>
            </w:pPr>
            <w:r>
              <w:rPr>
                <w:rFonts w:hint="eastAsia" w:asciiTheme="minorEastAsia" w:hAnsiTheme="minorEastAsia" w:cstheme="minorEastAsia"/>
                <w:b w:val="0"/>
                <w:bCs w:val="0"/>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20609</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科技重大项目</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308.40 </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308.40 </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cstheme="minorEastAsia"/>
                <w:b/>
                <w:bCs/>
                <w:i w:val="0"/>
                <w:iCs w:val="0"/>
                <w:color w:val="000000"/>
                <w:sz w:val="20"/>
                <w:szCs w:val="20"/>
                <w:u w:val="none"/>
                <w:lang w:val="en-US" w:eastAsia="zh-CN"/>
              </w:rPr>
            </w:pPr>
            <w:r>
              <w:rPr>
                <w:rFonts w:hint="eastAsia" w:asciiTheme="minorEastAsia" w:hAnsiTheme="minorEastAsia" w:cstheme="minorEastAsia"/>
                <w:b/>
                <w:bCs/>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40"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2060902</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重点研发计划</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308.40 </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308.40 </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b w:val="0"/>
                <w:bCs w:val="0"/>
                <w:i w:val="0"/>
                <w:iCs w:val="0"/>
                <w:color w:val="000000"/>
                <w:sz w:val="20"/>
                <w:szCs w:val="20"/>
                <w:u w:val="none"/>
                <w:lang w:val="en-US" w:eastAsia="zh-CN"/>
              </w:rPr>
            </w:pPr>
            <w:r>
              <w:rPr>
                <w:rFonts w:hint="eastAsia" w:asciiTheme="minorEastAsia" w:hAnsiTheme="minorEastAsia" w:cstheme="minorEastAsia"/>
                <w:b w:val="0"/>
                <w:bCs w:val="0"/>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208</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社会保障和就业支出</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420.76 </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420.76 </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b/>
                <w:bCs/>
                <w:i w:val="0"/>
                <w:iCs w:val="0"/>
                <w:color w:val="000000"/>
                <w:sz w:val="20"/>
                <w:szCs w:val="20"/>
                <w:u w:val="none"/>
                <w:lang w:val="en-US" w:eastAsia="zh-CN"/>
              </w:rPr>
            </w:pPr>
            <w:r>
              <w:rPr>
                <w:rFonts w:hint="eastAsia" w:asciiTheme="minorEastAsia" w:hAnsiTheme="minorEastAsia" w:cstheme="minorEastAsia"/>
                <w:b/>
                <w:bCs/>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20805</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行政事业单位养老支出</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420.76 </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420.76 </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b/>
                <w:bCs/>
                <w:i w:val="0"/>
                <w:iCs w:val="0"/>
                <w:color w:val="000000"/>
                <w:sz w:val="20"/>
                <w:szCs w:val="20"/>
                <w:u w:val="none"/>
                <w:lang w:val="en-US" w:eastAsia="zh-CN"/>
              </w:rPr>
            </w:pPr>
            <w:r>
              <w:rPr>
                <w:rFonts w:hint="eastAsia" w:asciiTheme="minorEastAsia" w:hAnsiTheme="minorEastAsia" w:cstheme="minorEastAsia"/>
                <w:b/>
                <w:bCs/>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2080502</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事业单位离退休</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0.76 </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0.76 </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b w:val="0"/>
                <w:bCs w:val="0"/>
                <w:i w:val="0"/>
                <w:iCs w:val="0"/>
                <w:color w:val="000000"/>
                <w:sz w:val="20"/>
                <w:szCs w:val="20"/>
                <w:u w:val="none"/>
                <w:lang w:val="en-US" w:eastAsia="zh-CN"/>
              </w:rPr>
            </w:pPr>
            <w:r>
              <w:rPr>
                <w:rFonts w:hint="eastAsia" w:asciiTheme="minorEastAsia" w:hAnsiTheme="minorEastAsia" w:cstheme="minorEastAsia"/>
                <w:b w:val="0"/>
                <w:bCs w:val="0"/>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2080505</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机关事业单位基本养老保险缴费支出</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280.00 </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280.00 </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cstheme="minorEastAsia"/>
                <w:b w:val="0"/>
                <w:bCs w:val="0"/>
                <w:i w:val="0"/>
                <w:iCs w:val="0"/>
                <w:color w:val="000000"/>
                <w:sz w:val="20"/>
                <w:szCs w:val="20"/>
                <w:u w:val="none"/>
                <w:lang w:val="en-US" w:eastAsia="zh-CN"/>
              </w:rPr>
            </w:pPr>
            <w:r>
              <w:rPr>
                <w:rFonts w:hint="eastAsia" w:asciiTheme="minorEastAsia" w:hAnsiTheme="minorEastAsia" w:cstheme="minorEastAsia"/>
                <w:b w:val="0"/>
                <w:bCs w:val="0"/>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2080506</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机关事业单位职业年金缴费支出</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140.00 </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140.00 </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b w:val="0"/>
                <w:bCs w:val="0"/>
                <w:i w:val="0"/>
                <w:iCs w:val="0"/>
                <w:color w:val="000000"/>
                <w:sz w:val="20"/>
                <w:szCs w:val="20"/>
                <w:u w:val="none"/>
                <w:lang w:val="en-US" w:eastAsia="zh-CN"/>
              </w:rPr>
            </w:pPr>
            <w:r>
              <w:rPr>
                <w:rFonts w:hint="eastAsia" w:asciiTheme="minorEastAsia" w:hAnsiTheme="minorEastAsia" w:cstheme="minorEastAsia"/>
                <w:b w:val="0"/>
                <w:bCs w:val="0"/>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211</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节能环保支出</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1,599.29 </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1,599.29 </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b/>
                <w:bCs/>
                <w:i w:val="0"/>
                <w:iCs w:val="0"/>
                <w:color w:val="000000"/>
                <w:sz w:val="20"/>
                <w:szCs w:val="20"/>
                <w:u w:val="none"/>
                <w:lang w:val="en-US" w:eastAsia="zh-CN"/>
              </w:rPr>
            </w:pPr>
            <w:r>
              <w:rPr>
                <w:rFonts w:hint="eastAsia" w:asciiTheme="minorEastAsia" w:hAnsiTheme="minorEastAsia" w:cstheme="minorEastAsia"/>
                <w:b/>
                <w:bCs/>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21101</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环境保护管理事务</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131.96 </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131.96 </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cstheme="minorEastAsia"/>
                <w:b/>
                <w:bCs/>
                <w:i w:val="0"/>
                <w:iCs w:val="0"/>
                <w:color w:val="000000"/>
                <w:sz w:val="20"/>
                <w:szCs w:val="20"/>
                <w:u w:val="none"/>
                <w:lang w:val="en-US" w:eastAsia="zh-CN"/>
              </w:rPr>
            </w:pPr>
            <w:r>
              <w:rPr>
                <w:rFonts w:hint="default" w:asciiTheme="minorEastAsia" w:hAnsiTheme="minorEastAsia" w:cstheme="minorEastAsia"/>
                <w:b/>
                <w:bCs/>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b/>
                <w:bCs/>
                <w:i w:val="0"/>
                <w:iCs w:val="0"/>
                <w:color w:val="000000"/>
                <w:sz w:val="20"/>
                <w:szCs w:val="20"/>
                <w:u w:val="none"/>
                <w:lang w:val="en-US"/>
              </w:rPr>
            </w:pPr>
            <w:r>
              <w:rPr>
                <w:rFonts w:hint="default" w:asciiTheme="minorEastAsia" w:hAnsiTheme="minorEastAsia" w:cstheme="minorEastAsia"/>
                <w:b/>
                <w:bCs/>
                <w:i w:val="0"/>
                <w:iCs w:val="0"/>
                <w:color w:val="000000"/>
                <w:sz w:val="20"/>
                <w:szCs w:val="20"/>
                <w:u w:val="none"/>
                <w:lang w:val="en-US" w:eastAsia="zh-CN"/>
              </w:rPr>
              <w:t>0.00</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b/>
                <w:bCs/>
                <w:i w:val="0"/>
                <w:iCs w:val="0"/>
                <w:color w:val="000000"/>
                <w:sz w:val="20"/>
                <w:szCs w:val="20"/>
                <w:u w:val="none"/>
                <w:lang w:val="en-US"/>
              </w:rPr>
            </w:pPr>
            <w:r>
              <w:rPr>
                <w:rFonts w:hint="default" w:asciiTheme="minorEastAsia" w:hAnsiTheme="minorEastAsia" w:cstheme="minorEastAsia"/>
                <w:b/>
                <w:bCs/>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b/>
                <w:bCs/>
                <w:i w:val="0"/>
                <w:iCs w:val="0"/>
                <w:color w:val="000000"/>
                <w:sz w:val="20"/>
                <w:szCs w:val="20"/>
                <w:u w:val="none"/>
                <w:lang w:val="en-US"/>
              </w:rPr>
            </w:pPr>
            <w:r>
              <w:rPr>
                <w:rFonts w:hint="default" w:asciiTheme="minorEastAsia" w:hAnsiTheme="minorEastAsia" w:cstheme="minorEastAsia"/>
                <w:b/>
                <w:bCs/>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b/>
                <w:bCs/>
                <w:i w:val="0"/>
                <w:iCs w:val="0"/>
                <w:color w:val="000000"/>
                <w:sz w:val="20"/>
                <w:szCs w:val="20"/>
                <w:u w:val="none"/>
                <w:lang w:val="en-US"/>
              </w:rPr>
            </w:pPr>
            <w:r>
              <w:rPr>
                <w:rFonts w:hint="default" w:asciiTheme="minorEastAsia" w:hAnsiTheme="minorEastAsia" w:cstheme="minorEastAsia"/>
                <w:b/>
                <w:bCs/>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2110199</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其他环境保护管理事务支出</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131.96 </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131.96 </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b w:val="0"/>
                <w:bCs w:val="0"/>
                <w:i w:val="0"/>
                <w:iCs w:val="0"/>
                <w:color w:val="000000"/>
                <w:sz w:val="20"/>
                <w:szCs w:val="20"/>
                <w:u w:val="none"/>
                <w:lang w:val="en-US" w:eastAsia="zh-CN"/>
              </w:rPr>
            </w:pPr>
            <w:r>
              <w:rPr>
                <w:rFonts w:hint="eastAsia" w:asciiTheme="minorEastAsia" w:hAnsiTheme="minorEastAsia" w:cstheme="minorEastAsia"/>
                <w:b w:val="0"/>
                <w:bCs w:val="0"/>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94"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21102</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环境监测与监察</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15.00 </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15.00 </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b/>
                <w:bCs/>
                <w:i w:val="0"/>
                <w:iCs w:val="0"/>
                <w:color w:val="000000"/>
                <w:sz w:val="20"/>
                <w:szCs w:val="20"/>
                <w:u w:val="none"/>
                <w:lang w:val="en-US" w:eastAsia="zh-CN"/>
              </w:rPr>
            </w:pPr>
            <w:r>
              <w:rPr>
                <w:rFonts w:hint="eastAsia" w:asciiTheme="minorEastAsia" w:hAnsiTheme="minorEastAsia" w:cstheme="minorEastAsia"/>
                <w:b/>
                <w:bCs/>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2110299</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其他环境监测与监察支出</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15.00 </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15.00 </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b w:val="0"/>
                <w:bCs w:val="0"/>
                <w:i w:val="0"/>
                <w:iCs w:val="0"/>
                <w:color w:val="000000"/>
                <w:sz w:val="20"/>
                <w:szCs w:val="20"/>
                <w:u w:val="none"/>
                <w:lang w:val="en-US" w:eastAsia="zh-CN"/>
              </w:rPr>
            </w:pPr>
            <w:r>
              <w:rPr>
                <w:rFonts w:hint="eastAsia" w:asciiTheme="minorEastAsia" w:hAnsiTheme="minorEastAsia" w:cstheme="minorEastAsia"/>
                <w:b w:val="0"/>
                <w:bCs w:val="0"/>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21103</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污染防治</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1,380.24 </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1,380.24 </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b/>
                <w:bCs/>
                <w:i w:val="0"/>
                <w:iCs w:val="0"/>
                <w:color w:val="000000"/>
                <w:sz w:val="20"/>
                <w:szCs w:val="20"/>
                <w:u w:val="none"/>
                <w:lang w:val="en-US" w:eastAsia="zh-CN"/>
              </w:rPr>
            </w:pPr>
            <w:r>
              <w:rPr>
                <w:rFonts w:hint="eastAsia" w:asciiTheme="minorEastAsia" w:hAnsiTheme="minorEastAsia" w:cstheme="minorEastAsia"/>
                <w:b/>
                <w:bCs/>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2110302</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水体</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508.45 </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508.45 </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2110307</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土壤</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666.00 </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666.00 </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2110399</w:t>
            </w:r>
          </w:p>
        </w:tc>
        <w:tc>
          <w:tcPr>
            <w:tcW w:w="364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其他污染防治支出</w:t>
            </w:r>
          </w:p>
        </w:tc>
        <w:tc>
          <w:tcPr>
            <w:tcW w:w="1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205.79 </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205.79 </w:t>
            </w:r>
          </w:p>
        </w:tc>
        <w:tc>
          <w:tcPr>
            <w:tcW w:w="1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0.00</w:t>
            </w:r>
          </w:p>
        </w:tc>
        <w:tc>
          <w:tcPr>
            <w:tcW w:w="12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11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15" w:hRule="atLeast"/>
        </w:trPr>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21104</w:t>
            </w:r>
          </w:p>
        </w:tc>
        <w:tc>
          <w:tcPr>
            <w:tcW w:w="3641" w:type="dxa"/>
            <w:gridSpan w:val="4"/>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自然生态保护</w:t>
            </w:r>
          </w:p>
        </w:tc>
        <w:tc>
          <w:tcPr>
            <w:tcW w:w="1555"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72.09 </w:t>
            </w:r>
          </w:p>
        </w:tc>
        <w:tc>
          <w:tcPr>
            <w:tcW w:w="1487"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72.09 </w:t>
            </w:r>
          </w:p>
        </w:tc>
        <w:tc>
          <w:tcPr>
            <w:tcW w:w="1458"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cstheme="minorEastAsia"/>
                <w:b/>
                <w:bCs/>
                <w:i w:val="0"/>
                <w:iCs w:val="0"/>
                <w:color w:val="000000"/>
                <w:sz w:val="20"/>
                <w:szCs w:val="20"/>
                <w:u w:val="none"/>
                <w:lang w:val="en-US" w:eastAsia="zh-CN"/>
              </w:rPr>
            </w:pPr>
            <w:r>
              <w:rPr>
                <w:rFonts w:hint="eastAsia" w:asciiTheme="minorEastAsia" w:hAnsiTheme="minorEastAsia" w:cstheme="minorEastAsia"/>
                <w:b/>
                <w:bCs/>
                <w:i w:val="0"/>
                <w:iCs w:val="0"/>
                <w:color w:val="000000"/>
                <w:sz w:val="20"/>
                <w:szCs w:val="20"/>
                <w:u w:val="none"/>
                <w:lang w:val="en-US" w:eastAsia="zh-CN"/>
              </w:rPr>
              <w:t>0.00</w:t>
            </w:r>
          </w:p>
        </w:tc>
        <w:tc>
          <w:tcPr>
            <w:tcW w:w="1268" w:type="dxa"/>
            <w:gridSpan w:val="2"/>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132" w:type="dxa"/>
            <w:gridSpan w:val="2"/>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350" w:type="dxa"/>
            <w:gridSpan w:val="2"/>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56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2110402</w:t>
            </w:r>
          </w:p>
        </w:tc>
        <w:tc>
          <w:tcPr>
            <w:tcW w:w="364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农村环境保护</w:t>
            </w:r>
          </w:p>
        </w:tc>
        <w:tc>
          <w:tcPr>
            <w:tcW w:w="1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52.09 </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52.09 </w:t>
            </w:r>
          </w:p>
        </w:tc>
        <w:tc>
          <w:tcPr>
            <w:tcW w:w="1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0.00</w:t>
            </w:r>
          </w:p>
        </w:tc>
        <w:tc>
          <w:tcPr>
            <w:tcW w:w="12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11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2110499</w:t>
            </w:r>
          </w:p>
        </w:tc>
        <w:tc>
          <w:tcPr>
            <w:tcW w:w="3641" w:type="dxa"/>
            <w:gridSpan w:val="4"/>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其他自然生态保护支出</w:t>
            </w:r>
          </w:p>
        </w:tc>
        <w:tc>
          <w:tcPr>
            <w:tcW w:w="1555"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20.00 </w:t>
            </w:r>
          </w:p>
        </w:tc>
        <w:tc>
          <w:tcPr>
            <w:tcW w:w="1487"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20.00 </w:t>
            </w:r>
          </w:p>
        </w:tc>
        <w:tc>
          <w:tcPr>
            <w:tcW w:w="1458"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0.00</w:t>
            </w:r>
          </w:p>
        </w:tc>
        <w:tc>
          <w:tcPr>
            <w:tcW w:w="1268" w:type="dxa"/>
            <w:gridSpan w:val="2"/>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1132" w:type="dxa"/>
            <w:gridSpan w:val="2"/>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1350" w:type="dxa"/>
            <w:gridSpan w:val="2"/>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156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90"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221</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住房保障支出</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148.74 </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148.74 </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b/>
                <w:bCs/>
                <w:i w:val="0"/>
                <w:iCs w:val="0"/>
                <w:color w:val="000000"/>
                <w:sz w:val="20"/>
                <w:szCs w:val="20"/>
                <w:u w:val="none"/>
                <w:lang w:val="en-US" w:eastAsia="zh-CN"/>
              </w:rPr>
            </w:pPr>
            <w:r>
              <w:rPr>
                <w:rFonts w:hint="eastAsia" w:asciiTheme="minorEastAsia" w:hAnsiTheme="minorEastAsia" w:cstheme="minorEastAsia"/>
                <w:b/>
                <w:bCs/>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22102</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住房改革支出</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148.74 </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148.74 </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b/>
                <w:bCs/>
                <w:i w:val="0"/>
                <w:iCs w:val="0"/>
                <w:color w:val="000000"/>
                <w:sz w:val="20"/>
                <w:szCs w:val="20"/>
                <w:u w:val="none"/>
                <w:lang w:val="en-US" w:eastAsia="zh-CN"/>
              </w:rPr>
            </w:pPr>
            <w:r>
              <w:rPr>
                <w:rFonts w:hint="eastAsia" w:asciiTheme="minorEastAsia" w:hAnsiTheme="minorEastAsia" w:cstheme="minorEastAsia"/>
                <w:b/>
                <w:bCs/>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2210201</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住房公积金</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108.74 </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108.74 </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706" w:type="dxa"/>
          <w:trHeight w:val="300" w:hRule="atLeast"/>
        </w:trPr>
        <w:tc>
          <w:tcPr>
            <w:tcW w:w="101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2210203</w:t>
            </w:r>
          </w:p>
        </w:tc>
        <w:tc>
          <w:tcPr>
            <w:tcW w:w="3641"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购房补贴</w:t>
            </w:r>
          </w:p>
        </w:tc>
        <w:tc>
          <w:tcPr>
            <w:tcW w:w="15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40.00 </w:t>
            </w:r>
          </w:p>
        </w:tc>
        <w:tc>
          <w:tcPr>
            <w:tcW w:w="14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xml:space="preserve"> 40.00 </w:t>
            </w:r>
          </w:p>
        </w:tc>
        <w:tc>
          <w:tcPr>
            <w:tcW w:w="14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0.00</w:t>
            </w:r>
          </w:p>
        </w:tc>
        <w:tc>
          <w:tcPr>
            <w:tcW w:w="1268"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113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135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15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bl>
    <w:p>
      <w:pPr>
        <w:widowControl/>
        <w:jc w:val="left"/>
        <w:rPr>
          <w:rFonts w:ascii="Times New Roman" w:hAnsi="Times New Roman" w:eastAsia="黑体" w:cs="Times New Roman"/>
          <w:bCs/>
          <w:kern w:val="0"/>
          <w:sz w:val="32"/>
          <w:szCs w:val="32"/>
        </w:rPr>
      </w:pPr>
      <w:r>
        <w:rPr>
          <w:rFonts w:hint="eastAsia" w:asciiTheme="minorEastAsia" w:hAnsiTheme="minorEastAsia" w:eastAsiaTheme="minorEastAsia" w:cstheme="minorEastAsia"/>
          <w:sz w:val="20"/>
          <w:szCs w:val="20"/>
        </w:rPr>
        <w:t>注：本表反映部门本年度取得的各项收入情况。</w:t>
      </w:r>
      <w:r>
        <w:rPr>
          <w:rFonts w:hint="eastAsia" w:asciiTheme="minorEastAsia" w:hAnsiTheme="minorEastAsia" w:eastAsiaTheme="minorEastAsia" w:cstheme="minorEastAsia"/>
          <w:bCs/>
          <w:kern w:val="0"/>
          <w:sz w:val="20"/>
          <w:szCs w:val="20"/>
        </w:rPr>
        <w:br w:type="page"/>
      </w:r>
    </w:p>
    <w:tbl>
      <w:tblPr>
        <w:tblStyle w:val="6"/>
        <w:tblW w:w="13594" w:type="dxa"/>
        <w:tblInd w:w="93" w:type="dxa"/>
        <w:tblLayout w:type="fixed"/>
        <w:tblCellMar>
          <w:top w:w="0" w:type="dxa"/>
          <w:left w:w="108" w:type="dxa"/>
          <w:bottom w:w="0" w:type="dxa"/>
          <w:right w:w="108" w:type="dxa"/>
        </w:tblCellMar>
      </w:tblPr>
      <w:tblGrid>
        <w:gridCol w:w="1148"/>
        <w:gridCol w:w="143"/>
        <w:gridCol w:w="222"/>
        <w:gridCol w:w="3303"/>
        <w:gridCol w:w="1486"/>
        <w:gridCol w:w="1228"/>
        <w:gridCol w:w="1241"/>
        <w:gridCol w:w="1500"/>
        <w:gridCol w:w="1281"/>
        <w:gridCol w:w="2042"/>
      </w:tblGrid>
      <w:tr>
        <w:tblPrEx>
          <w:tblCellMar>
            <w:top w:w="0" w:type="dxa"/>
            <w:left w:w="108" w:type="dxa"/>
            <w:bottom w:w="0" w:type="dxa"/>
            <w:right w:w="108" w:type="dxa"/>
          </w:tblCellMar>
        </w:tblPrEx>
        <w:trPr>
          <w:trHeight w:val="435" w:hRule="atLeast"/>
        </w:trPr>
        <w:tc>
          <w:tcPr>
            <w:tcW w:w="13594" w:type="dxa"/>
            <w:gridSpan w:val="10"/>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tblPrEx>
          <w:tblCellMar>
            <w:top w:w="0" w:type="dxa"/>
            <w:left w:w="108" w:type="dxa"/>
            <w:bottom w:w="0" w:type="dxa"/>
            <w:right w:w="108" w:type="dxa"/>
          </w:tblCellMar>
        </w:tblPrEx>
        <w:trPr>
          <w:trHeight w:val="285" w:hRule="atLeast"/>
        </w:trPr>
        <w:tc>
          <w:tcPr>
            <w:tcW w:w="1291" w:type="dxa"/>
            <w:gridSpan w:val="2"/>
            <w:tcBorders>
              <w:top w:val="nil"/>
              <w:left w:val="nil"/>
              <w:bottom w:val="nil"/>
              <w:right w:val="nil"/>
            </w:tcBorders>
            <w:shd w:val="clear" w:color="000000" w:fill="FFFFFF"/>
            <w:noWrap/>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22" w:type="dxa"/>
            <w:tcBorders>
              <w:top w:val="nil"/>
              <w:left w:val="nil"/>
              <w:bottom w:val="nil"/>
              <w:right w:val="nil"/>
            </w:tcBorders>
            <w:shd w:val="clear" w:color="000000" w:fill="FFFFFF"/>
            <w:noWrap/>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3303" w:type="dxa"/>
            <w:tcBorders>
              <w:top w:val="nil"/>
              <w:left w:val="nil"/>
              <w:bottom w:val="nil"/>
              <w:right w:val="nil"/>
            </w:tcBorders>
            <w:shd w:val="clear" w:color="000000" w:fill="FFFFFF"/>
            <w:noWrap/>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1486" w:type="dxa"/>
            <w:tcBorders>
              <w:top w:val="nil"/>
              <w:left w:val="nil"/>
              <w:bottom w:val="nil"/>
              <w:right w:val="nil"/>
            </w:tcBorders>
            <w:shd w:val="clear" w:color="000000" w:fill="FFFFFF"/>
            <w:noWrap/>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1228" w:type="dxa"/>
            <w:tcBorders>
              <w:top w:val="nil"/>
              <w:left w:val="nil"/>
              <w:bottom w:val="nil"/>
              <w:right w:val="nil"/>
            </w:tcBorders>
            <w:shd w:val="clear" w:color="000000" w:fill="FFFFFF"/>
            <w:noWrap/>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1241" w:type="dxa"/>
            <w:tcBorders>
              <w:top w:val="nil"/>
              <w:left w:val="nil"/>
              <w:bottom w:val="nil"/>
              <w:right w:val="nil"/>
            </w:tcBorders>
            <w:shd w:val="clear" w:color="000000" w:fill="FFFFFF"/>
            <w:noWrap/>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1500" w:type="dxa"/>
            <w:tcBorders>
              <w:top w:val="nil"/>
              <w:left w:val="nil"/>
              <w:bottom w:val="nil"/>
              <w:right w:val="nil"/>
            </w:tcBorders>
            <w:shd w:val="clear" w:color="000000" w:fill="FFFFFF"/>
            <w:noWrap/>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1281" w:type="dxa"/>
            <w:tcBorders>
              <w:top w:val="nil"/>
              <w:left w:val="nil"/>
              <w:bottom w:val="nil"/>
              <w:right w:val="nil"/>
            </w:tcBorders>
            <w:shd w:val="clear" w:color="000000" w:fill="FFFFFF"/>
            <w:noWrap/>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42" w:type="dxa"/>
            <w:tcBorders>
              <w:top w:val="nil"/>
              <w:left w:val="nil"/>
              <w:bottom w:val="nil"/>
              <w:right w:val="nil"/>
            </w:tcBorders>
            <w:shd w:val="clear" w:color="000000" w:fill="FFFFFF"/>
            <w:noWrap/>
            <w:vAlign w:val="center"/>
          </w:tcPr>
          <w:p>
            <w:pPr>
              <w:widowControl/>
              <w:jc w:val="right"/>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公开03表</w:t>
            </w:r>
          </w:p>
        </w:tc>
      </w:tr>
      <w:tr>
        <w:tblPrEx>
          <w:tblCellMar>
            <w:top w:w="0" w:type="dxa"/>
            <w:left w:w="108" w:type="dxa"/>
            <w:bottom w:w="0" w:type="dxa"/>
            <w:right w:w="108" w:type="dxa"/>
          </w:tblCellMar>
        </w:tblPrEx>
        <w:trPr>
          <w:trHeight w:val="285" w:hRule="atLeast"/>
        </w:trPr>
        <w:tc>
          <w:tcPr>
            <w:tcW w:w="6302" w:type="dxa"/>
            <w:gridSpan w:val="5"/>
            <w:tcBorders>
              <w:top w:val="nil"/>
              <w:left w:val="nil"/>
              <w:bottom w:val="nil"/>
              <w:right w:val="nil"/>
            </w:tcBorders>
            <w:shd w:val="clear" w:color="000000" w:fill="FFFFFF"/>
            <w:noWrap/>
            <w:vAlign w:val="center"/>
          </w:tcPr>
          <w:p>
            <w:pPr>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部门：湖南省环境保护科学研究院</w:t>
            </w:r>
          </w:p>
        </w:tc>
        <w:tc>
          <w:tcPr>
            <w:tcW w:w="1228" w:type="dxa"/>
            <w:tcBorders>
              <w:top w:val="nil"/>
              <w:left w:val="nil"/>
              <w:bottom w:val="nil"/>
              <w:right w:val="nil"/>
            </w:tcBorders>
            <w:shd w:val="clear" w:color="000000"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20"/>
                <w:szCs w:val="20"/>
              </w:rPr>
            </w:pPr>
          </w:p>
        </w:tc>
        <w:tc>
          <w:tcPr>
            <w:tcW w:w="1241" w:type="dxa"/>
            <w:tcBorders>
              <w:top w:val="nil"/>
              <w:left w:val="nil"/>
              <w:bottom w:val="nil"/>
              <w:right w:val="nil"/>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2021年度</w:t>
            </w:r>
          </w:p>
        </w:tc>
        <w:tc>
          <w:tcPr>
            <w:tcW w:w="1500" w:type="dxa"/>
            <w:tcBorders>
              <w:top w:val="nil"/>
              <w:left w:val="nil"/>
              <w:bottom w:val="nil"/>
              <w:right w:val="nil"/>
            </w:tcBorders>
            <w:shd w:val="clear" w:color="000000" w:fill="FFFFFF"/>
            <w:noWrap/>
            <w:vAlign w:val="center"/>
          </w:tcPr>
          <w:p>
            <w:pPr>
              <w:jc w:val="left"/>
              <w:rPr>
                <w:rFonts w:hint="eastAsia" w:asciiTheme="minorEastAsia" w:hAnsiTheme="minorEastAsia" w:eastAsiaTheme="minorEastAsia" w:cstheme="minorEastAsia"/>
                <w:kern w:val="0"/>
                <w:sz w:val="20"/>
                <w:szCs w:val="20"/>
              </w:rPr>
            </w:pPr>
          </w:p>
        </w:tc>
        <w:tc>
          <w:tcPr>
            <w:tcW w:w="1281" w:type="dxa"/>
            <w:tcBorders>
              <w:top w:val="nil"/>
              <w:left w:val="nil"/>
              <w:bottom w:val="nil"/>
              <w:right w:val="nil"/>
            </w:tcBorders>
            <w:shd w:val="clear" w:color="000000" w:fill="FFFFFF"/>
            <w:noWrap/>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42" w:type="dxa"/>
            <w:tcBorders>
              <w:top w:val="nil"/>
              <w:left w:val="nil"/>
              <w:bottom w:val="nil"/>
              <w:right w:val="nil"/>
            </w:tcBorders>
            <w:shd w:val="clear" w:color="000000" w:fill="FFFFFF"/>
            <w:noWrap/>
            <w:vAlign w:val="center"/>
          </w:tcPr>
          <w:p>
            <w:pPr>
              <w:widowControl/>
              <w:jc w:val="right"/>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单位：万元</w:t>
            </w:r>
          </w:p>
        </w:tc>
      </w:tr>
      <w:tr>
        <w:tblPrEx>
          <w:tblCellMar>
            <w:top w:w="0" w:type="dxa"/>
            <w:left w:w="108" w:type="dxa"/>
            <w:bottom w:w="0" w:type="dxa"/>
            <w:right w:w="108" w:type="dxa"/>
          </w:tblCellMar>
        </w:tblPrEx>
        <w:trPr>
          <w:trHeight w:val="424" w:hRule="atLeast"/>
        </w:trPr>
        <w:tc>
          <w:tcPr>
            <w:tcW w:w="4816" w:type="dxa"/>
            <w:gridSpan w:val="4"/>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项目</w:t>
            </w:r>
          </w:p>
        </w:tc>
        <w:tc>
          <w:tcPr>
            <w:tcW w:w="1486"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本年支出合计</w:t>
            </w:r>
          </w:p>
        </w:tc>
        <w:tc>
          <w:tcPr>
            <w:tcW w:w="122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基本支出</w:t>
            </w:r>
          </w:p>
        </w:tc>
        <w:tc>
          <w:tcPr>
            <w:tcW w:w="124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项目支出</w:t>
            </w:r>
          </w:p>
        </w:tc>
        <w:tc>
          <w:tcPr>
            <w:tcW w:w="150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上缴上级支出</w:t>
            </w:r>
          </w:p>
        </w:tc>
        <w:tc>
          <w:tcPr>
            <w:tcW w:w="128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经营支出</w:t>
            </w:r>
          </w:p>
        </w:tc>
        <w:tc>
          <w:tcPr>
            <w:tcW w:w="2042"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对附属单位补助支出</w:t>
            </w:r>
          </w:p>
        </w:tc>
      </w:tr>
      <w:tr>
        <w:tblPrEx>
          <w:tblCellMar>
            <w:top w:w="0" w:type="dxa"/>
            <w:left w:w="108" w:type="dxa"/>
            <w:bottom w:w="0" w:type="dxa"/>
            <w:right w:w="108" w:type="dxa"/>
          </w:tblCellMar>
        </w:tblPrEx>
        <w:trPr>
          <w:trHeight w:val="450" w:hRule="atLeast"/>
        </w:trPr>
        <w:tc>
          <w:tcPr>
            <w:tcW w:w="114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功能分类科目编码</w:t>
            </w:r>
          </w:p>
        </w:tc>
        <w:tc>
          <w:tcPr>
            <w:tcW w:w="3668" w:type="dxa"/>
            <w:gridSpan w:val="3"/>
            <w:vMerge w:val="restart"/>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科目名称</w:t>
            </w:r>
          </w:p>
        </w:tc>
        <w:tc>
          <w:tcPr>
            <w:tcW w:w="148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kern w:val="0"/>
                <w:sz w:val="20"/>
                <w:szCs w:val="20"/>
              </w:rPr>
            </w:pPr>
          </w:p>
        </w:tc>
        <w:tc>
          <w:tcPr>
            <w:tcW w:w="122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kern w:val="0"/>
                <w:sz w:val="20"/>
                <w:szCs w:val="20"/>
              </w:rPr>
            </w:pPr>
          </w:p>
        </w:tc>
        <w:tc>
          <w:tcPr>
            <w:tcW w:w="1241"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kern w:val="0"/>
                <w:sz w:val="20"/>
                <w:szCs w:val="20"/>
              </w:rPr>
            </w:pPr>
          </w:p>
        </w:tc>
        <w:tc>
          <w:tcPr>
            <w:tcW w:w="15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kern w:val="0"/>
                <w:sz w:val="20"/>
                <w:szCs w:val="20"/>
              </w:rPr>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kern w:val="0"/>
                <w:sz w:val="20"/>
                <w:szCs w:val="20"/>
              </w:rPr>
            </w:pPr>
          </w:p>
        </w:tc>
        <w:tc>
          <w:tcPr>
            <w:tcW w:w="204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312" w:hRule="atLeast"/>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20"/>
                <w:szCs w:val="20"/>
              </w:rPr>
            </w:pPr>
          </w:p>
        </w:tc>
        <w:tc>
          <w:tcPr>
            <w:tcW w:w="3668"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20"/>
                <w:szCs w:val="20"/>
              </w:rPr>
            </w:pPr>
          </w:p>
        </w:tc>
        <w:tc>
          <w:tcPr>
            <w:tcW w:w="14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20"/>
                <w:szCs w:val="20"/>
              </w:rPr>
            </w:pPr>
          </w:p>
        </w:tc>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20"/>
                <w:szCs w:val="20"/>
              </w:rPr>
            </w:pPr>
          </w:p>
        </w:tc>
        <w:tc>
          <w:tcPr>
            <w:tcW w:w="124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20"/>
                <w:szCs w:val="20"/>
              </w:rPr>
            </w:pPr>
          </w:p>
        </w:tc>
        <w:tc>
          <w:tcPr>
            <w:tcW w:w="15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20"/>
                <w:szCs w:val="20"/>
              </w:rPr>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20"/>
                <w:szCs w:val="20"/>
              </w:rPr>
            </w:pPr>
          </w:p>
        </w:tc>
        <w:tc>
          <w:tcPr>
            <w:tcW w:w="20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433" w:hRule="atLeast"/>
        </w:trPr>
        <w:tc>
          <w:tcPr>
            <w:tcW w:w="4816"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栏次</w:t>
            </w:r>
          </w:p>
        </w:tc>
        <w:tc>
          <w:tcPr>
            <w:tcW w:w="1486"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1228"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12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150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128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2042"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r>
      <w:tr>
        <w:tblPrEx>
          <w:tblCellMar>
            <w:top w:w="0" w:type="dxa"/>
            <w:left w:w="108" w:type="dxa"/>
            <w:bottom w:w="0" w:type="dxa"/>
            <w:right w:w="108" w:type="dxa"/>
          </w:tblCellMar>
        </w:tblPrEx>
        <w:trPr>
          <w:trHeight w:val="338" w:hRule="atLeast"/>
        </w:trPr>
        <w:tc>
          <w:tcPr>
            <w:tcW w:w="4816"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both"/>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合计</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9,736.86</w:t>
            </w:r>
          </w:p>
        </w:tc>
        <w:tc>
          <w:tcPr>
            <w:tcW w:w="12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3,309.78</w:t>
            </w:r>
          </w:p>
        </w:tc>
        <w:tc>
          <w:tcPr>
            <w:tcW w:w="12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6,427.08</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r>
      <w:tr>
        <w:tblPrEx>
          <w:tblCellMar>
            <w:top w:w="0" w:type="dxa"/>
            <w:left w:w="108" w:type="dxa"/>
            <w:bottom w:w="0" w:type="dxa"/>
            <w:right w:w="108" w:type="dxa"/>
          </w:tblCellMar>
        </w:tblPrEx>
        <w:trPr>
          <w:trHeight w:val="352"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206</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b/>
                <w:bCs/>
                <w:i w:val="0"/>
                <w:iCs w:val="0"/>
                <w:color w:val="000000"/>
                <w:kern w:val="0"/>
                <w:sz w:val="20"/>
                <w:szCs w:val="20"/>
                <w:u w:val="none"/>
                <w:lang w:val="en-US" w:eastAsia="zh-CN" w:bidi="ar"/>
              </w:rPr>
              <w:t>科学技术支出</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kern w:val="0"/>
                <w:sz w:val="20"/>
                <w:szCs w:val="20"/>
              </w:rPr>
            </w:pPr>
            <w:r>
              <w:rPr>
                <w:rFonts w:hint="eastAsia" w:asciiTheme="minorEastAsia" w:hAnsiTheme="minorEastAsia" w:eastAsiaTheme="minorEastAsia" w:cstheme="minorEastAsia"/>
                <w:b/>
                <w:bCs/>
                <w:i w:val="0"/>
                <w:iCs w:val="0"/>
                <w:color w:val="000000"/>
                <w:kern w:val="0"/>
                <w:sz w:val="20"/>
                <w:szCs w:val="20"/>
                <w:u w:val="none"/>
                <w:lang w:val="en-US" w:eastAsia="zh-CN" w:bidi="ar"/>
              </w:rPr>
              <w:t>7,291.42</w:t>
            </w:r>
          </w:p>
        </w:tc>
        <w:tc>
          <w:tcPr>
            <w:tcW w:w="12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kern w:val="0"/>
                <w:sz w:val="20"/>
                <w:szCs w:val="20"/>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2,740.28</w:t>
            </w:r>
          </w:p>
        </w:tc>
        <w:tc>
          <w:tcPr>
            <w:tcW w:w="12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kern w:val="0"/>
                <w:sz w:val="20"/>
                <w:szCs w:val="20"/>
              </w:rPr>
            </w:pPr>
            <w:r>
              <w:rPr>
                <w:rFonts w:hint="eastAsia" w:asciiTheme="minorEastAsia" w:hAnsiTheme="minorEastAsia" w:eastAsiaTheme="minorEastAsia" w:cstheme="minorEastAsia"/>
                <w:b/>
                <w:bCs/>
                <w:i w:val="0"/>
                <w:iCs w:val="0"/>
                <w:color w:val="000000"/>
                <w:kern w:val="0"/>
                <w:sz w:val="20"/>
                <w:szCs w:val="20"/>
                <w:u w:val="none"/>
                <w:lang w:val="en-US" w:eastAsia="zh-CN" w:bidi="ar"/>
              </w:rPr>
              <w:t>4,551.14</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b/>
                <w:bCs/>
                <w:kern w:val="0"/>
                <w:sz w:val="20"/>
                <w:szCs w:val="20"/>
                <w:lang w:val="en-US" w:eastAsia="zh-CN"/>
              </w:rPr>
            </w:pPr>
            <w:r>
              <w:rPr>
                <w:rFonts w:hint="eastAsia" w:asciiTheme="minorEastAsia" w:hAnsiTheme="minorEastAsia" w:cstheme="minorEastAsia"/>
                <w:b/>
                <w:bCs/>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kern w:val="0"/>
                <w:sz w:val="20"/>
                <w:szCs w:val="20"/>
              </w:rPr>
            </w:pPr>
            <w:r>
              <w:rPr>
                <w:rFonts w:hint="eastAsia" w:asciiTheme="minorEastAsia" w:hAnsiTheme="minorEastAsia" w:cstheme="minorEastAsia"/>
                <w:b/>
                <w:bCs/>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kern w:val="0"/>
                <w:sz w:val="20"/>
                <w:szCs w:val="20"/>
              </w:rPr>
            </w:pPr>
            <w:r>
              <w:rPr>
                <w:rFonts w:hint="eastAsia" w:asciiTheme="minorEastAsia" w:hAnsiTheme="minorEastAsia" w:cstheme="minorEastAsia"/>
                <w:b/>
                <w:bCs/>
                <w:kern w:val="0"/>
                <w:sz w:val="20"/>
                <w:szCs w:val="20"/>
                <w:lang w:val="en-US" w:eastAsia="zh-CN"/>
              </w:rPr>
              <w:t>0.00</w:t>
            </w:r>
          </w:p>
        </w:tc>
      </w:tr>
      <w:tr>
        <w:tblPrEx>
          <w:tblCellMar>
            <w:top w:w="0" w:type="dxa"/>
            <w:left w:w="108" w:type="dxa"/>
            <w:bottom w:w="0" w:type="dxa"/>
            <w:right w:w="108" w:type="dxa"/>
          </w:tblCellMar>
        </w:tblPrEx>
        <w:trPr>
          <w:trHeight w:val="283"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20602</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基础研究</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kern w:val="0"/>
                <w:sz w:val="20"/>
                <w:szCs w:val="20"/>
              </w:rPr>
            </w:pPr>
            <w:r>
              <w:rPr>
                <w:rFonts w:hint="eastAsia" w:asciiTheme="minorEastAsia" w:hAnsiTheme="minorEastAsia" w:eastAsiaTheme="minorEastAsia" w:cstheme="minorEastAsia"/>
                <w:b/>
                <w:bCs/>
                <w:i w:val="0"/>
                <w:iCs w:val="0"/>
                <w:color w:val="000000"/>
                <w:kern w:val="0"/>
                <w:sz w:val="20"/>
                <w:szCs w:val="20"/>
                <w:u w:val="none"/>
                <w:lang w:val="en-US" w:eastAsia="zh-CN" w:bidi="ar"/>
              </w:rPr>
              <w:t>4.41</w:t>
            </w:r>
          </w:p>
        </w:tc>
        <w:tc>
          <w:tcPr>
            <w:tcW w:w="1228"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b/>
                <w:bCs/>
                <w:kern w:val="0"/>
                <w:sz w:val="20"/>
                <w:szCs w:val="20"/>
                <w:lang w:val="en-US" w:eastAsia="zh-CN"/>
              </w:rPr>
            </w:pPr>
            <w:r>
              <w:rPr>
                <w:rFonts w:hint="eastAsia" w:asciiTheme="minorEastAsia" w:hAnsiTheme="minorEastAsia" w:cstheme="minorEastAsia"/>
                <w:b/>
                <w:bCs/>
                <w:kern w:val="0"/>
                <w:sz w:val="20"/>
                <w:szCs w:val="20"/>
                <w:lang w:val="en-US" w:eastAsia="zh-CN"/>
              </w:rPr>
              <w:t>0.00</w:t>
            </w:r>
          </w:p>
        </w:tc>
        <w:tc>
          <w:tcPr>
            <w:tcW w:w="12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kern w:val="0"/>
                <w:sz w:val="20"/>
                <w:szCs w:val="20"/>
              </w:rPr>
            </w:pPr>
            <w:r>
              <w:rPr>
                <w:rFonts w:hint="eastAsia" w:asciiTheme="minorEastAsia" w:hAnsiTheme="minorEastAsia" w:eastAsiaTheme="minorEastAsia" w:cstheme="minorEastAsia"/>
                <w:b/>
                <w:bCs/>
                <w:i w:val="0"/>
                <w:iCs w:val="0"/>
                <w:color w:val="000000"/>
                <w:kern w:val="0"/>
                <w:sz w:val="20"/>
                <w:szCs w:val="20"/>
                <w:u w:val="none"/>
                <w:lang w:val="en-US" w:eastAsia="zh-CN" w:bidi="ar"/>
              </w:rPr>
              <w:t>4.41</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b/>
                <w:bCs/>
                <w:kern w:val="0"/>
                <w:sz w:val="20"/>
                <w:szCs w:val="20"/>
                <w:lang w:val="en-US" w:eastAsia="zh-CN"/>
              </w:rPr>
            </w:pPr>
            <w:r>
              <w:rPr>
                <w:rFonts w:hint="eastAsia" w:asciiTheme="minorEastAsia" w:hAnsiTheme="minorEastAsia" w:cstheme="minorEastAsia"/>
                <w:b/>
                <w:bCs/>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kern w:val="0"/>
                <w:sz w:val="20"/>
                <w:szCs w:val="20"/>
              </w:rPr>
            </w:pPr>
            <w:r>
              <w:rPr>
                <w:rFonts w:hint="eastAsia" w:asciiTheme="minorEastAsia" w:hAnsiTheme="minorEastAsia" w:cstheme="minorEastAsia"/>
                <w:b/>
                <w:bCs/>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kern w:val="0"/>
                <w:sz w:val="20"/>
                <w:szCs w:val="20"/>
              </w:rPr>
            </w:pPr>
            <w:r>
              <w:rPr>
                <w:rFonts w:hint="eastAsia" w:asciiTheme="minorEastAsia" w:hAnsiTheme="minorEastAsia" w:cstheme="minorEastAsia"/>
                <w:b/>
                <w:bCs/>
                <w:kern w:val="0"/>
                <w:sz w:val="20"/>
                <w:szCs w:val="20"/>
                <w:lang w:val="en-US" w:eastAsia="zh-CN"/>
              </w:rPr>
              <w:t>0.00</w:t>
            </w:r>
          </w:p>
        </w:tc>
      </w:tr>
      <w:tr>
        <w:tblPrEx>
          <w:tblCellMar>
            <w:top w:w="0" w:type="dxa"/>
            <w:left w:w="108" w:type="dxa"/>
            <w:bottom w:w="0" w:type="dxa"/>
            <w:right w:w="108" w:type="dxa"/>
          </w:tblCellMar>
        </w:tblPrEx>
        <w:trPr>
          <w:trHeight w:val="393"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2060203</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自然科学基金</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4.41</w:t>
            </w:r>
          </w:p>
        </w:tc>
        <w:tc>
          <w:tcPr>
            <w:tcW w:w="1228"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4.41</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r>
      <w:tr>
        <w:tblPrEx>
          <w:tblCellMar>
            <w:top w:w="0" w:type="dxa"/>
            <w:left w:w="108" w:type="dxa"/>
            <w:bottom w:w="0" w:type="dxa"/>
            <w:right w:w="108" w:type="dxa"/>
          </w:tblCellMar>
        </w:tblPrEx>
        <w:trPr>
          <w:trHeight w:val="378"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20603</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应用研究</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kern w:val="0"/>
                <w:sz w:val="20"/>
                <w:szCs w:val="20"/>
              </w:rPr>
            </w:pPr>
            <w:r>
              <w:rPr>
                <w:rFonts w:hint="eastAsia" w:asciiTheme="minorEastAsia" w:hAnsiTheme="minorEastAsia" w:eastAsiaTheme="minorEastAsia" w:cstheme="minorEastAsia"/>
                <w:b/>
                <w:bCs/>
                <w:i w:val="0"/>
                <w:iCs w:val="0"/>
                <w:color w:val="000000"/>
                <w:kern w:val="0"/>
                <w:sz w:val="20"/>
                <w:szCs w:val="20"/>
                <w:u w:val="none"/>
                <w:lang w:val="en-US" w:eastAsia="zh-CN" w:bidi="ar"/>
              </w:rPr>
              <w:t>7,078.96</w:t>
            </w:r>
          </w:p>
        </w:tc>
        <w:tc>
          <w:tcPr>
            <w:tcW w:w="12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kern w:val="0"/>
                <w:sz w:val="20"/>
                <w:szCs w:val="20"/>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2,740.28</w:t>
            </w:r>
          </w:p>
        </w:tc>
        <w:tc>
          <w:tcPr>
            <w:tcW w:w="12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kern w:val="0"/>
                <w:sz w:val="20"/>
                <w:szCs w:val="20"/>
              </w:rPr>
            </w:pPr>
            <w:r>
              <w:rPr>
                <w:rFonts w:hint="eastAsia" w:asciiTheme="minorEastAsia" w:hAnsiTheme="minorEastAsia" w:eastAsiaTheme="minorEastAsia" w:cstheme="minorEastAsia"/>
                <w:b/>
                <w:bCs/>
                <w:i w:val="0"/>
                <w:iCs w:val="0"/>
                <w:color w:val="000000"/>
                <w:kern w:val="0"/>
                <w:sz w:val="20"/>
                <w:szCs w:val="20"/>
                <w:u w:val="none"/>
                <w:lang w:val="en-US" w:eastAsia="zh-CN" w:bidi="ar"/>
              </w:rPr>
              <w:t>4,338.68</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b/>
                <w:bCs/>
                <w:kern w:val="0"/>
                <w:sz w:val="20"/>
                <w:szCs w:val="20"/>
                <w:lang w:val="en-US" w:eastAsia="zh-CN"/>
              </w:rPr>
            </w:pPr>
            <w:r>
              <w:rPr>
                <w:rFonts w:hint="eastAsia" w:asciiTheme="minorEastAsia" w:hAnsiTheme="minorEastAsia" w:cstheme="minorEastAsia"/>
                <w:b/>
                <w:bCs/>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kern w:val="0"/>
                <w:sz w:val="20"/>
                <w:szCs w:val="20"/>
              </w:rPr>
            </w:pPr>
            <w:r>
              <w:rPr>
                <w:rFonts w:hint="eastAsia" w:asciiTheme="minorEastAsia" w:hAnsiTheme="minorEastAsia" w:cstheme="minorEastAsia"/>
                <w:b/>
                <w:bCs/>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kern w:val="0"/>
                <w:sz w:val="20"/>
                <w:szCs w:val="20"/>
              </w:rPr>
            </w:pPr>
            <w:r>
              <w:rPr>
                <w:rFonts w:hint="eastAsia" w:asciiTheme="minorEastAsia" w:hAnsiTheme="minorEastAsia" w:cstheme="minorEastAsia"/>
                <w:b/>
                <w:bCs/>
                <w:kern w:val="0"/>
                <w:sz w:val="20"/>
                <w:szCs w:val="20"/>
                <w:lang w:val="en-US" w:eastAsia="zh-CN"/>
              </w:rPr>
              <w:t>0.00</w:t>
            </w:r>
          </w:p>
        </w:tc>
      </w:tr>
      <w:tr>
        <w:tblPrEx>
          <w:tblCellMar>
            <w:top w:w="0" w:type="dxa"/>
            <w:left w:w="108" w:type="dxa"/>
            <w:bottom w:w="0" w:type="dxa"/>
            <w:right w:w="108" w:type="dxa"/>
          </w:tblCellMar>
        </w:tblPrEx>
        <w:trPr>
          <w:trHeight w:val="351"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2060301</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机构运行</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2,740.28</w:t>
            </w:r>
          </w:p>
        </w:tc>
        <w:tc>
          <w:tcPr>
            <w:tcW w:w="12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2,740.28</w:t>
            </w:r>
          </w:p>
        </w:tc>
        <w:tc>
          <w:tcPr>
            <w:tcW w:w="1241"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r>
      <w:tr>
        <w:tblPrEx>
          <w:tblCellMar>
            <w:top w:w="0" w:type="dxa"/>
            <w:left w:w="108" w:type="dxa"/>
            <w:bottom w:w="0" w:type="dxa"/>
            <w:right w:w="108" w:type="dxa"/>
          </w:tblCellMar>
        </w:tblPrEx>
        <w:trPr>
          <w:trHeight w:val="365"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2060302</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社会公益研究</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4,257.55</w:t>
            </w:r>
          </w:p>
        </w:tc>
        <w:tc>
          <w:tcPr>
            <w:tcW w:w="1228"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4,257.55</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r>
      <w:tr>
        <w:tblPrEx>
          <w:tblCellMar>
            <w:top w:w="0" w:type="dxa"/>
            <w:left w:w="108" w:type="dxa"/>
            <w:bottom w:w="0" w:type="dxa"/>
            <w:right w:w="108" w:type="dxa"/>
          </w:tblCellMar>
        </w:tblPrEx>
        <w:trPr>
          <w:trHeight w:val="337"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2060303</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高技术研究</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81.13</w:t>
            </w:r>
          </w:p>
        </w:tc>
        <w:tc>
          <w:tcPr>
            <w:tcW w:w="1228"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81.13</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r>
      <w:tr>
        <w:tblPrEx>
          <w:tblCellMar>
            <w:top w:w="0" w:type="dxa"/>
            <w:left w:w="108" w:type="dxa"/>
            <w:bottom w:w="0" w:type="dxa"/>
            <w:right w:w="108" w:type="dxa"/>
          </w:tblCellMar>
        </w:tblPrEx>
        <w:trPr>
          <w:trHeight w:val="351"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20609</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科技重大项目</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208.05</w:t>
            </w:r>
          </w:p>
        </w:tc>
        <w:tc>
          <w:tcPr>
            <w:tcW w:w="1228"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b/>
                <w:bCs/>
                <w:kern w:val="0"/>
                <w:sz w:val="20"/>
                <w:szCs w:val="20"/>
                <w:lang w:val="en-US" w:eastAsia="zh-CN"/>
              </w:rPr>
            </w:pPr>
            <w:r>
              <w:rPr>
                <w:rFonts w:hint="eastAsia" w:asciiTheme="minorEastAsia" w:hAnsiTheme="minorEastAsia" w:cstheme="minorEastAsia"/>
                <w:b/>
                <w:bCs/>
                <w:kern w:val="0"/>
                <w:sz w:val="20"/>
                <w:szCs w:val="20"/>
                <w:lang w:val="en-US" w:eastAsia="zh-CN"/>
              </w:rPr>
              <w:t>0.00</w:t>
            </w:r>
          </w:p>
        </w:tc>
        <w:tc>
          <w:tcPr>
            <w:tcW w:w="12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208.05</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b/>
                <w:bCs/>
                <w:kern w:val="0"/>
                <w:sz w:val="20"/>
                <w:szCs w:val="20"/>
                <w:lang w:val="en-US" w:eastAsia="zh-CN"/>
              </w:rPr>
            </w:pPr>
            <w:r>
              <w:rPr>
                <w:rFonts w:hint="eastAsia" w:asciiTheme="minorEastAsia" w:hAnsiTheme="minorEastAsia" w:cstheme="minorEastAsia"/>
                <w:b/>
                <w:bCs/>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kern w:val="0"/>
                <w:sz w:val="20"/>
                <w:szCs w:val="20"/>
              </w:rPr>
            </w:pPr>
            <w:r>
              <w:rPr>
                <w:rFonts w:hint="eastAsia" w:asciiTheme="minorEastAsia" w:hAnsiTheme="minorEastAsia" w:cstheme="minorEastAsia"/>
                <w:b/>
                <w:bCs/>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kern w:val="0"/>
                <w:sz w:val="20"/>
                <w:szCs w:val="20"/>
              </w:rPr>
            </w:pPr>
            <w:r>
              <w:rPr>
                <w:rFonts w:hint="eastAsia" w:asciiTheme="minorEastAsia" w:hAnsiTheme="minorEastAsia" w:cstheme="minorEastAsia"/>
                <w:b/>
                <w:bCs/>
                <w:kern w:val="0"/>
                <w:sz w:val="20"/>
                <w:szCs w:val="20"/>
                <w:lang w:val="en-US" w:eastAsia="zh-CN"/>
              </w:rPr>
              <w:t>0.00</w:t>
            </w:r>
          </w:p>
        </w:tc>
      </w:tr>
      <w:tr>
        <w:tblPrEx>
          <w:tblCellMar>
            <w:top w:w="0" w:type="dxa"/>
            <w:left w:w="108" w:type="dxa"/>
            <w:bottom w:w="0" w:type="dxa"/>
            <w:right w:w="108" w:type="dxa"/>
          </w:tblCellMar>
        </w:tblPrEx>
        <w:trPr>
          <w:trHeight w:val="365"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2060902</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重点研发计划</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208.05</w:t>
            </w:r>
          </w:p>
        </w:tc>
        <w:tc>
          <w:tcPr>
            <w:tcW w:w="1228"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208.05</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r>
      <w:tr>
        <w:tblPrEx>
          <w:tblCellMar>
            <w:top w:w="0" w:type="dxa"/>
            <w:left w:w="108" w:type="dxa"/>
            <w:bottom w:w="0" w:type="dxa"/>
            <w:right w:w="108" w:type="dxa"/>
          </w:tblCellMar>
        </w:tblPrEx>
        <w:trPr>
          <w:trHeight w:val="296"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208</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社会保障和就业支出</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420.76</w:t>
            </w:r>
          </w:p>
        </w:tc>
        <w:tc>
          <w:tcPr>
            <w:tcW w:w="12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kern w:val="0"/>
                <w:sz w:val="20"/>
                <w:szCs w:val="20"/>
              </w:rPr>
            </w:pPr>
            <w:r>
              <w:rPr>
                <w:rFonts w:hint="eastAsia" w:asciiTheme="minorEastAsia" w:hAnsiTheme="minorEastAsia" w:eastAsiaTheme="minorEastAsia" w:cstheme="minorEastAsia"/>
                <w:b/>
                <w:bCs/>
                <w:i w:val="0"/>
                <w:iCs w:val="0"/>
                <w:color w:val="000000"/>
                <w:kern w:val="0"/>
                <w:sz w:val="20"/>
                <w:szCs w:val="20"/>
                <w:u w:val="none"/>
                <w:lang w:val="en-US" w:eastAsia="zh-CN" w:bidi="ar"/>
              </w:rPr>
              <w:t>420.76</w:t>
            </w:r>
          </w:p>
        </w:tc>
        <w:tc>
          <w:tcPr>
            <w:tcW w:w="1241"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b/>
                <w:bCs/>
                <w:i w:val="0"/>
                <w:iCs w:val="0"/>
                <w:color w:val="000000"/>
                <w:kern w:val="0"/>
                <w:sz w:val="20"/>
                <w:szCs w:val="20"/>
                <w:u w:val="none"/>
                <w:lang w:val="en-US" w:eastAsia="zh-CN" w:bidi="ar"/>
              </w:rPr>
            </w:pPr>
            <w:r>
              <w:rPr>
                <w:rFonts w:hint="eastAsia" w:asciiTheme="minorEastAsia" w:hAnsiTheme="minorEastAsia" w:cstheme="minorEastAsia"/>
                <w:b/>
                <w:bCs/>
                <w:i w:val="0"/>
                <w:iCs w:val="0"/>
                <w:color w:val="000000"/>
                <w:kern w:val="0"/>
                <w:sz w:val="20"/>
                <w:szCs w:val="20"/>
                <w:u w:val="none"/>
                <w:lang w:val="en-US" w:eastAsia="zh-CN" w:bidi="ar"/>
              </w:rPr>
              <w:t>0.00</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b/>
                <w:bCs/>
                <w:kern w:val="0"/>
                <w:sz w:val="20"/>
                <w:szCs w:val="20"/>
                <w:lang w:val="en-US" w:eastAsia="zh-CN"/>
              </w:rPr>
            </w:pPr>
            <w:r>
              <w:rPr>
                <w:rFonts w:hint="eastAsia" w:asciiTheme="minorEastAsia" w:hAnsiTheme="minorEastAsia" w:cstheme="minorEastAsia"/>
                <w:b/>
                <w:bCs/>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kern w:val="0"/>
                <w:sz w:val="20"/>
                <w:szCs w:val="20"/>
              </w:rPr>
            </w:pPr>
            <w:r>
              <w:rPr>
                <w:rFonts w:hint="eastAsia" w:asciiTheme="minorEastAsia" w:hAnsiTheme="minorEastAsia" w:cstheme="minorEastAsia"/>
                <w:b/>
                <w:bCs/>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kern w:val="0"/>
                <w:sz w:val="20"/>
                <w:szCs w:val="20"/>
              </w:rPr>
            </w:pPr>
            <w:r>
              <w:rPr>
                <w:rFonts w:hint="eastAsia" w:asciiTheme="minorEastAsia" w:hAnsiTheme="minorEastAsia" w:cstheme="minorEastAsia"/>
                <w:b/>
                <w:bCs/>
                <w:kern w:val="0"/>
                <w:sz w:val="20"/>
                <w:szCs w:val="20"/>
                <w:lang w:val="en-US" w:eastAsia="zh-CN"/>
              </w:rPr>
              <w:t>0.00</w:t>
            </w:r>
          </w:p>
        </w:tc>
      </w:tr>
      <w:tr>
        <w:tblPrEx>
          <w:tblCellMar>
            <w:top w:w="0" w:type="dxa"/>
            <w:left w:w="108" w:type="dxa"/>
            <w:bottom w:w="0" w:type="dxa"/>
            <w:right w:w="108" w:type="dxa"/>
          </w:tblCellMar>
        </w:tblPrEx>
        <w:trPr>
          <w:trHeight w:val="365"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20805</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行政事业单位养老支出</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420.76</w:t>
            </w:r>
          </w:p>
        </w:tc>
        <w:tc>
          <w:tcPr>
            <w:tcW w:w="12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kern w:val="0"/>
                <w:sz w:val="20"/>
                <w:szCs w:val="20"/>
              </w:rPr>
            </w:pPr>
            <w:r>
              <w:rPr>
                <w:rFonts w:hint="eastAsia" w:asciiTheme="minorEastAsia" w:hAnsiTheme="minorEastAsia" w:eastAsiaTheme="minorEastAsia" w:cstheme="minorEastAsia"/>
                <w:b/>
                <w:bCs/>
                <w:i w:val="0"/>
                <w:iCs w:val="0"/>
                <w:color w:val="000000"/>
                <w:kern w:val="0"/>
                <w:sz w:val="20"/>
                <w:szCs w:val="20"/>
                <w:u w:val="none"/>
                <w:lang w:val="en-US" w:eastAsia="zh-CN" w:bidi="ar"/>
              </w:rPr>
              <w:t>420.76</w:t>
            </w:r>
          </w:p>
        </w:tc>
        <w:tc>
          <w:tcPr>
            <w:tcW w:w="1241"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b/>
                <w:bCs/>
                <w:i w:val="0"/>
                <w:iCs w:val="0"/>
                <w:color w:val="000000"/>
                <w:kern w:val="0"/>
                <w:sz w:val="20"/>
                <w:szCs w:val="20"/>
                <w:u w:val="none"/>
                <w:lang w:val="en-US" w:eastAsia="zh-CN" w:bidi="ar"/>
              </w:rPr>
            </w:pPr>
            <w:r>
              <w:rPr>
                <w:rFonts w:hint="eastAsia" w:asciiTheme="minorEastAsia" w:hAnsiTheme="minorEastAsia" w:cstheme="minorEastAsia"/>
                <w:b/>
                <w:bCs/>
                <w:i w:val="0"/>
                <w:iCs w:val="0"/>
                <w:color w:val="000000"/>
                <w:kern w:val="0"/>
                <w:sz w:val="20"/>
                <w:szCs w:val="20"/>
                <w:u w:val="none"/>
                <w:lang w:val="en-US" w:eastAsia="zh-CN" w:bidi="ar"/>
              </w:rPr>
              <w:t>0.00</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b/>
                <w:bCs/>
                <w:kern w:val="0"/>
                <w:sz w:val="20"/>
                <w:szCs w:val="20"/>
                <w:lang w:val="en-US" w:eastAsia="zh-CN"/>
              </w:rPr>
            </w:pPr>
            <w:r>
              <w:rPr>
                <w:rFonts w:hint="eastAsia" w:asciiTheme="minorEastAsia" w:hAnsiTheme="minorEastAsia" w:cstheme="minorEastAsia"/>
                <w:b/>
                <w:bCs/>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kern w:val="0"/>
                <w:sz w:val="20"/>
                <w:szCs w:val="20"/>
              </w:rPr>
            </w:pPr>
            <w:r>
              <w:rPr>
                <w:rFonts w:hint="eastAsia" w:asciiTheme="minorEastAsia" w:hAnsiTheme="minorEastAsia" w:cstheme="minorEastAsia"/>
                <w:b/>
                <w:bCs/>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kern w:val="0"/>
                <w:sz w:val="20"/>
                <w:szCs w:val="20"/>
              </w:rPr>
            </w:pPr>
            <w:r>
              <w:rPr>
                <w:rFonts w:hint="eastAsia" w:asciiTheme="minorEastAsia" w:hAnsiTheme="minorEastAsia" w:cstheme="minorEastAsia"/>
                <w:b/>
                <w:bCs/>
                <w:kern w:val="0"/>
                <w:sz w:val="20"/>
                <w:szCs w:val="20"/>
                <w:lang w:val="en-US" w:eastAsia="zh-CN"/>
              </w:rPr>
              <w:t>0.00</w:t>
            </w:r>
          </w:p>
        </w:tc>
      </w:tr>
      <w:tr>
        <w:tblPrEx>
          <w:tblCellMar>
            <w:top w:w="0" w:type="dxa"/>
            <w:left w:w="108" w:type="dxa"/>
            <w:bottom w:w="0" w:type="dxa"/>
            <w:right w:w="108" w:type="dxa"/>
          </w:tblCellMar>
        </w:tblPrEx>
        <w:trPr>
          <w:trHeight w:val="365"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2080502</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事业单位离退休</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0.76</w:t>
            </w:r>
          </w:p>
        </w:tc>
        <w:tc>
          <w:tcPr>
            <w:tcW w:w="12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0.76</w:t>
            </w:r>
          </w:p>
        </w:tc>
        <w:tc>
          <w:tcPr>
            <w:tcW w:w="1241"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0.00</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r>
      <w:tr>
        <w:tblPrEx>
          <w:tblCellMar>
            <w:top w:w="0" w:type="dxa"/>
            <w:left w:w="108" w:type="dxa"/>
            <w:bottom w:w="0" w:type="dxa"/>
            <w:right w:w="108" w:type="dxa"/>
          </w:tblCellMar>
        </w:tblPrEx>
        <w:trPr>
          <w:trHeight w:val="378"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2080505</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机关事业单位基本养老保险缴费支出</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280.00</w:t>
            </w:r>
          </w:p>
        </w:tc>
        <w:tc>
          <w:tcPr>
            <w:tcW w:w="12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280.00</w:t>
            </w:r>
          </w:p>
        </w:tc>
        <w:tc>
          <w:tcPr>
            <w:tcW w:w="1241"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0.00</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r>
      <w:tr>
        <w:tblPrEx>
          <w:tblCellMar>
            <w:top w:w="0" w:type="dxa"/>
            <w:left w:w="108" w:type="dxa"/>
            <w:bottom w:w="0" w:type="dxa"/>
            <w:right w:w="108" w:type="dxa"/>
          </w:tblCellMar>
        </w:tblPrEx>
        <w:trPr>
          <w:trHeight w:val="365"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2080506</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机关事业单位职业年金缴费支出</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140.00</w:t>
            </w:r>
          </w:p>
        </w:tc>
        <w:tc>
          <w:tcPr>
            <w:tcW w:w="12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140.00</w:t>
            </w:r>
          </w:p>
        </w:tc>
        <w:tc>
          <w:tcPr>
            <w:tcW w:w="1241"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0.00</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r>
      <w:tr>
        <w:tblPrEx>
          <w:tblCellMar>
            <w:top w:w="0" w:type="dxa"/>
            <w:left w:w="108" w:type="dxa"/>
            <w:bottom w:w="0" w:type="dxa"/>
            <w:right w:w="108" w:type="dxa"/>
          </w:tblCellMar>
        </w:tblPrEx>
        <w:trPr>
          <w:trHeight w:val="364"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211</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节能环保支出</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1,875.94</w:t>
            </w:r>
          </w:p>
        </w:tc>
        <w:tc>
          <w:tcPr>
            <w:tcW w:w="1228"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b/>
                <w:bCs/>
                <w:kern w:val="0"/>
                <w:sz w:val="20"/>
                <w:szCs w:val="20"/>
                <w:lang w:val="en-US" w:eastAsia="zh-CN"/>
              </w:rPr>
            </w:pPr>
            <w:r>
              <w:rPr>
                <w:rFonts w:hint="eastAsia" w:asciiTheme="minorEastAsia" w:hAnsiTheme="minorEastAsia" w:cstheme="minorEastAsia"/>
                <w:b/>
                <w:bCs/>
                <w:kern w:val="0"/>
                <w:sz w:val="20"/>
                <w:szCs w:val="20"/>
                <w:lang w:val="en-US" w:eastAsia="zh-CN"/>
              </w:rPr>
              <w:t>0.00</w:t>
            </w:r>
          </w:p>
        </w:tc>
        <w:tc>
          <w:tcPr>
            <w:tcW w:w="12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1,875.94</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b/>
                <w:bCs/>
                <w:kern w:val="0"/>
                <w:sz w:val="20"/>
                <w:szCs w:val="20"/>
                <w:lang w:val="en-US" w:eastAsia="zh-CN"/>
              </w:rPr>
            </w:pPr>
            <w:r>
              <w:rPr>
                <w:rFonts w:hint="eastAsia" w:asciiTheme="minorEastAsia" w:hAnsiTheme="minorEastAsia" w:cstheme="minorEastAsia"/>
                <w:b/>
                <w:bCs/>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kern w:val="0"/>
                <w:sz w:val="20"/>
                <w:szCs w:val="20"/>
              </w:rPr>
            </w:pPr>
            <w:r>
              <w:rPr>
                <w:rFonts w:hint="eastAsia" w:asciiTheme="minorEastAsia" w:hAnsiTheme="minorEastAsia" w:cstheme="minorEastAsia"/>
                <w:b/>
                <w:bCs/>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kern w:val="0"/>
                <w:sz w:val="20"/>
                <w:szCs w:val="20"/>
              </w:rPr>
            </w:pPr>
            <w:r>
              <w:rPr>
                <w:rFonts w:hint="eastAsia" w:asciiTheme="minorEastAsia" w:hAnsiTheme="minorEastAsia" w:cstheme="minorEastAsia"/>
                <w:b/>
                <w:bCs/>
                <w:kern w:val="0"/>
                <w:sz w:val="20"/>
                <w:szCs w:val="20"/>
                <w:lang w:val="en-US" w:eastAsia="zh-CN"/>
              </w:rPr>
              <w:t>0.00</w:t>
            </w:r>
          </w:p>
        </w:tc>
      </w:tr>
      <w:tr>
        <w:tblPrEx>
          <w:tblCellMar>
            <w:top w:w="0" w:type="dxa"/>
            <w:left w:w="108" w:type="dxa"/>
            <w:bottom w:w="0" w:type="dxa"/>
            <w:right w:w="108" w:type="dxa"/>
          </w:tblCellMar>
        </w:tblPrEx>
        <w:trPr>
          <w:trHeight w:val="369"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21101</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环境保护管理事务</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531.98</w:t>
            </w:r>
          </w:p>
        </w:tc>
        <w:tc>
          <w:tcPr>
            <w:tcW w:w="1228"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b/>
                <w:bCs/>
                <w:kern w:val="0"/>
                <w:sz w:val="20"/>
                <w:szCs w:val="20"/>
                <w:lang w:val="en-US" w:eastAsia="zh-CN"/>
              </w:rPr>
            </w:pPr>
            <w:r>
              <w:rPr>
                <w:rFonts w:hint="eastAsia" w:asciiTheme="minorEastAsia" w:hAnsiTheme="minorEastAsia" w:cstheme="minorEastAsia"/>
                <w:b/>
                <w:bCs/>
                <w:kern w:val="0"/>
                <w:sz w:val="20"/>
                <w:szCs w:val="20"/>
                <w:lang w:val="en-US" w:eastAsia="zh-CN"/>
              </w:rPr>
              <w:t>0.00</w:t>
            </w:r>
          </w:p>
        </w:tc>
        <w:tc>
          <w:tcPr>
            <w:tcW w:w="12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531.98</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b/>
                <w:bCs/>
                <w:kern w:val="0"/>
                <w:sz w:val="20"/>
                <w:szCs w:val="20"/>
                <w:lang w:val="en-US" w:eastAsia="zh-CN"/>
              </w:rPr>
            </w:pPr>
            <w:r>
              <w:rPr>
                <w:rFonts w:hint="eastAsia" w:asciiTheme="minorEastAsia" w:hAnsiTheme="minorEastAsia" w:cstheme="minorEastAsia"/>
                <w:b/>
                <w:bCs/>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kern w:val="0"/>
                <w:sz w:val="20"/>
                <w:szCs w:val="20"/>
              </w:rPr>
            </w:pPr>
            <w:r>
              <w:rPr>
                <w:rFonts w:hint="eastAsia" w:asciiTheme="minorEastAsia" w:hAnsiTheme="minorEastAsia" w:cstheme="minorEastAsia"/>
                <w:b/>
                <w:bCs/>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kern w:val="0"/>
                <w:sz w:val="20"/>
                <w:szCs w:val="20"/>
              </w:rPr>
            </w:pPr>
            <w:r>
              <w:rPr>
                <w:rFonts w:hint="eastAsia" w:asciiTheme="minorEastAsia" w:hAnsiTheme="minorEastAsia" w:cstheme="minorEastAsia"/>
                <w:b/>
                <w:bCs/>
                <w:kern w:val="0"/>
                <w:sz w:val="20"/>
                <w:szCs w:val="20"/>
                <w:lang w:val="en-US" w:eastAsia="zh-CN"/>
              </w:rPr>
              <w:t>0.00</w:t>
            </w:r>
          </w:p>
        </w:tc>
      </w:tr>
      <w:tr>
        <w:tblPrEx>
          <w:tblCellMar>
            <w:top w:w="0" w:type="dxa"/>
            <w:left w:w="108" w:type="dxa"/>
            <w:bottom w:w="0" w:type="dxa"/>
            <w:right w:w="108" w:type="dxa"/>
          </w:tblCellMar>
        </w:tblPrEx>
        <w:trPr>
          <w:trHeight w:val="368"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2110199</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其他环境保护管理事务支出</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531.98</w:t>
            </w:r>
          </w:p>
        </w:tc>
        <w:tc>
          <w:tcPr>
            <w:tcW w:w="1228"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531.98</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r>
      <w:tr>
        <w:tblPrEx>
          <w:tblCellMar>
            <w:top w:w="0" w:type="dxa"/>
            <w:left w:w="108" w:type="dxa"/>
            <w:bottom w:w="0" w:type="dxa"/>
            <w:right w:w="108" w:type="dxa"/>
          </w:tblCellMar>
        </w:tblPrEx>
        <w:trPr>
          <w:trHeight w:val="395"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21103</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污染防治</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1,237.34</w:t>
            </w:r>
          </w:p>
        </w:tc>
        <w:tc>
          <w:tcPr>
            <w:tcW w:w="1228"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b/>
                <w:bCs/>
                <w:kern w:val="0"/>
                <w:sz w:val="20"/>
                <w:szCs w:val="20"/>
                <w:lang w:val="en-US" w:eastAsia="zh-CN"/>
              </w:rPr>
            </w:pPr>
            <w:r>
              <w:rPr>
                <w:rFonts w:hint="eastAsia" w:asciiTheme="minorEastAsia" w:hAnsiTheme="minorEastAsia" w:cstheme="minorEastAsia"/>
                <w:b/>
                <w:bCs/>
                <w:kern w:val="0"/>
                <w:sz w:val="20"/>
                <w:szCs w:val="20"/>
                <w:lang w:val="en-US" w:eastAsia="zh-CN"/>
              </w:rPr>
              <w:t>0.00</w:t>
            </w:r>
          </w:p>
        </w:tc>
        <w:tc>
          <w:tcPr>
            <w:tcW w:w="12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1,237.34</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b/>
                <w:bCs/>
                <w:kern w:val="0"/>
                <w:sz w:val="20"/>
                <w:szCs w:val="20"/>
                <w:lang w:val="en-US" w:eastAsia="zh-CN"/>
              </w:rPr>
            </w:pPr>
            <w:r>
              <w:rPr>
                <w:rFonts w:hint="eastAsia" w:asciiTheme="minorEastAsia" w:hAnsiTheme="minorEastAsia" w:cstheme="minorEastAsia"/>
                <w:b/>
                <w:bCs/>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kern w:val="0"/>
                <w:sz w:val="20"/>
                <w:szCs w:val="20"/>
              </w:rPr>
            </w:pPr>
            <w:r>
              <w:rPr>
                <w:rFonts w:hint="eastAsia" w:asciiTheme="minorEastAsia" w:hAnsiTheme="minorEastAsia" w:cstheme="minorEastAsia"/>
                <w:b/>
                <w:bCs/>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kern w:val="0"/>
                <w:sz w:val="20"/>
                <w:szCs w:val="20"/>
              </w:rPr>
            </w:pPr>
            <w:r>
              <w:rPr>
                <w:rFonts w:hint="eastAsia" w:asciiTheme="minorEastAsia" w:hAnsiTheme="minorEastAsia" w:cstheme="minorEastAsia"/>
                <w:b/>
                <w:bCs/>
                <w:kern w:val="0"/>
                <w:sz w:val="20"/>
                <w:szCs w:val="20"/>
                <w:lang w:val="en-US" w:eastAsia="zh-CN"/>
              </w:rPr>
              <w:t>0.00</w:t>
            </w:r>
          </w:p>
        </w:tc>
      </w:tr>
      <w:tr>
        <w:tblPrEx>
          <w:tblCellMar>
            <w:top w:w="0" w:type="dxa"/>
            <w:left w:w="108" w:type="dxa"/>
            <w:bottom w:w="0" w:type="dxa"/>
            <w:right w:w="108" w:type="dxa"/>
          </w:tblCellMar>
        </w:tblPrEx>
        <w:trPr>
          <w:trHeight w:val="368"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2110301</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大气</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216.26</w:t>
            </w:r>
          </w:p>
        </w:tc>
        <w:tc>
          <w:tcPr>
            <w:tcW w:w="1228"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216.26</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r>
      <w:tr>
        <w:tblPrEx>
          <w:tblCellMar>
            <w:top w:w="0" w:type="dxa"/>
            <w:left w:w="108" w:type="dxa"/>
            <w:bottom w:w="0" w:type="dxa"/>
            <w:right w:w="108" w:type="dxa"/>
          </w:tblCellMar>
        </w:tblPrEx>
        <w:trPr>
          <w:trHeight w:val="341"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2110302</w:t>
            </w:r>
          </w:p>
        </w:tc>
        <w:tc>
          <w:tcPr>
            <w:tcW w:w="3668"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水体</w:t>
            </w:r>
          </w:p>
        </w:tc>
        <w:tc>
          <w:tcPr>
            <w:tcW w:w="14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89.39</w:t>
            </w:r>
          </w:p>
        </w:tc>
        <w:tc>
          <w:tcPr>
            <w:tcW w:w="122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4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89.39</w:t>
            </w: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8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c>
          <w:tcPr>
            <w:tcW w:w="20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r>
      <w:tr>
        <w:tblPrEx>
          <w:tblCellMar>
            <w:top w:w="0" w:type="dxa"/>
            <w:left w:w="108" w:type="dxa"/>
            <w:bottom w:w="0" w:type="dxa"/>
            <w:right w:w="108" w:type="dxa"/>
          </w:tblCellMar>
        </w:tblPrEx>
        <w:trPr>
          <w:trHeight w:val="355"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2110307</w:t>
            </w:r>
          </w:p>
        </w:tc>
        <w:tc>
          <w:tcPr>
            <w:tcW w:w="3668"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土壤</w:t>
            </w:r>
          </w:p>
        </w:tc>
        <w:tc>
          <w:tcPr>
            <w:tcW w:w="14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590.28</w:t>
            </w:r>
          </w:p>
        </w:tc>
        <w:tc>
          <w:tcPr>
            <w:tcW w:w="122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4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590.28</w:t>
            </w: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8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c>
          <w:tcPr>
            <w:tcW w:w="20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r>
      <w:tr>
        <w:tblPrEx>
          <w:tblCellMar>
            <w:top w:w="0" w:type="dxa"/>
            <w:left w:w="108" w:type="dxa"/>
            <w:bottom w:w="0" w:type="dxa"/>
            <w:right w:w="108" w:type="dxa"/>
          </w:tblCellMar>
        </w:tblPrEx>
        <w:trPr>
          <w:trHeight w:val="354"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2110399</w:t>
            </w:r>
          </w:p>
        </w:tc>
        <w:tc>
          <w:tcPr>
            <w:tcW w:w="3668" w:type="dxa"/>
            <w:gridSpan w:val="3"/>
            <w:tcBorders>
              <w:top w:val="single" w:color="auto" w:sz="4" w:space="0"/>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其他污染防治支出</w:t>
            </w:r>
          </w:p>
        </w:tc>
        <w:tc>
          <w:tcPr>
            <w:tcW w:w="14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341.41</w:t>
            </w:r>
          </w:p>
        </w:tc>
        <w:tc>
          <w:tcPr>
            <w:tcW w:w="1228" w:type="dxa"/>
            <w:tcBorders>
              <w:top w:val="single" w:color="auto" w:sz="4" w:space="0"/>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41"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341.41</w:t>
            </w:r>
          </w:p>
        </w:tc>
        <w:tc>
          <w:tcPr>
            <w:tcW w:w="1500" w:type="dxa"/>
            <w:tcBorders>
              <w:top w:val="single" w:color="auto" w:sz="4" w:space="0"/>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81" w:type="dxa"/>
            <w:tcBorders>
              <w:top w:val="single" w:color="auto" w:sz="4" w:space="0"/>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c>
          <w:tcPr>
            <w:tcW w:w="2042" w:type="dxa"/>
            <w:tcBorders>
              <w:top w:val="single" w:color="auto" w:sz="4" w:space="0"/>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r>
      <w:tr>
        <w:tblPrEx>
          <w:tblCellMar>
            <w:top w:w="0" w:type="dxa"/>
            <w:left w:w="108" w:type="dxa"/>
            <w:bottom w:w="0" w:type="dxa"/>
            <w:right w:w="108" w:type="dxa"/>
          </w:tblCellMar>
        </w:tblPrEx>
        <w:trPr>
          <w:trHeight w:val="341"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21104</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自然生态保护</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106.62</w:t>
            </w:r>
          </w:p>
        </w:tc>
        <w:tc>
          <w:tcPr>
            <w:tcW w:w="1228"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b/>
                <w:bCs/>
                <w:kern w:val="0"/>
                <w:sz w:val="20"/>
                <w:szCs w:val="20"/>
                <w:lang w:val="en-US" w:eastAsia="zh-CN"/>
              </w:rPr>
            </w:pPr>
            <w:r>
              <w:rPr>
                <w:rFonts w:hint="eastAsia" w:asciiTheme="minorEastAsia" w:hAnsiTheme="minorEastAsia" w:cstheme="minorEastAsia"/>
                <w:b/>
                <w:bCs/>
                <w:kern w:val="0"/>
                <w:sz w:val="20"/>
                <w:szCs w:val="20"/>
                <w:lang w:val="en-US" w:eastAsia="zh-CN"/>
              </w:rPr>
              <w:t>0.00</w:t>
            </w:r>
          </w:p>
        </w:tc>
        <w:tc>
          <w:tcPr>
            <w:tcW w:w="12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106.62</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b/>
                <w:bCs/>
                <w:kern w:val="0"/>
                <w:sz w:val="20"/>
                <w:szCs w:val="20"/>
                <w:lang w:val="en-US" w:eastAsia="zh-CN"/>
              </w:rPr>
            </w:pPr>
            <w:r>
              <w:rPr>
                <w:rFonts w:hint="eastAsia" w:asciiTheme="minorEastAsia" w:hAnsiTheme="minorEastAsia" w:cstheme="minorEastAsia"/>
                <w:b/>
                <w:bCs/>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kern w:val="0"/>
                <w:sz w:val="20"/>
                <w:szCs w:val="20"/>
              </w:rPr>
            </w:pPr>
            <w:r>
              <w:rPr>
                <w:rFonts w:hint="eastAsia" w:asciiTheme="minorEastAsia" w:hAnsiTheme="minorEastAsia" w:cstheme="minorEastAsia"/>
                <w:b/>
                <w:bCs/>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kern w:val="0"/>
                <w:sz w:val="20"/>
                <w:szCs w:val="20"/>
              </w:rPr>
            </w:pPr>
            <w:r>
              <w:rPr>
                <w:rFonts w:hint="eastAsia" w:asciiTheme="minorEastAsia" w:hAnsiTheme="minorEastAsia" w:cstheme="minorEastAsia"/>
                <w:b/>
                <w:bCs/>
                <w:kern w:val="0"/>
                <w:sz w:val="20"/>
                <w:szCs w:val="20"/>
                <w:lang w:val="en-US" w:eastAsia="zh-CN"/>
              </w:rPr>
              <w:t>0.00</w:t>
            </w:r>
          </w:p>
        </w:tc>
      </w:tr>
      <w:tr>
        <w:tblPrEx>
          <w:tblCellMar>
            <w:top w:w="0" w:type="dxa"/>
            <w:left w:w="108" w:type="dxa"/>
            <w:bottom w:w="0" w:type="dxa"/>
            <w:right w:w="108" w:type="dxa"/>
          </w:tblCellMar>
        </w:tblPrEx>
        <w:trPr>
          <w:trHeight w:val="355"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2110402</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农村环境保护</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106.62</w:t>
            </w:r>
          </w:p>
        </w:tc>
        <w:tc>
          <w:tcPr>
            <w:tcW w:w="1228"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106.62</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r>
      <w:tr>
        <w:tblPrEx>
          <w:tblCellMar>
            <w:top w:w="0" w:type="dxa"/>
            <w:left w:w="108" w:type="dxa"/>
            <w:bottom w:w="0" w:type="dxa"/>
            <w:right w:w="108" w:type="dxa"/>
          </w:tblCellMar>
        </w:tblPrEx>
        <w:trPr>
          <w:trHeight w:val="355"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221</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住房保障支出</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148.74</w:t>
            </w:r>
          </w:p>
        </w:tc>
        <w:tc>
          <w:tcPr>
            <w:tcW w:w="12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kern w:val="0"/>
                <w:sz w:val="20"/>
                <w:szCs w:val="20"/>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148.74</w:t>
            </w:r>
          </w:p>
        </w:tc>
        <w:tc>
          <w:tcPr>
            <w:tcW w:w="1241"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b/>
                <w:bCs/>
                <w:i w:val="0"/>
                <w:iCs w:val="0"/>
                <w:color w:val="000000"/>
                <w:kern w:val="0"/>
                <w:sz w:val="20"/>
                <w:szCs w:val="20"/>
                <w:u w:val="none"/>
                <w:lang w:val="en-US" w:eastAsia="zh-CN" w:bidi="ar"/>
              </w:rPr>
            </w:pPr>
            <w:r>
              <w:rPr>
                <w:rFonts w:hint="eastAsia" w:asciiTheme="minorEastAsia" w:hAnsiTheme="minorEastAsia" w:cstheme="minorEastAsia"/>
                <w:b/>
                <w:bCs/>
                <w:i w:val="0"/>
                <w:iCs w:val="0"/>
                <w:color w:val="000000"/>
                <w:kern w:val="0"/>
                <w:sz w:val="20"/>
                <w:szCs w:val="20"/>
                <w:u w:val="none"/>
                <w:lang w:val="en-US" w:eastAsia="zh-CN" w:bidi="ar"/>
              </w:rPr>
              <w:t>0.00</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b/>
                <w:bCs/>
                <w:kern w:val="0"/>
                <w:sz w:val="20"/>
                <w:szCs w:val="20"/>
                <w:lang w:val="en-US" w:eastAsia="zh-CN"/>
              </w:rPr>
            </w:pPr>
            <w:r>
              <w:rPr>
                <w:rFonts w:hint="eastAsia" w:asciiTheme="minorEastAsia" w:hAnsiTheme="minorEastAsia" w:cstheme="minorEastAsia"/>
                <w:b/>
                <w:bCs/>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kern w:val="0"/>
                <w:sz w:val="20"/>
                <w:szCs w:val="20"/>
              </w:rPr>
            </w:pPr>
            <w:r>
              <w:rPr>
                <w:rFonts w:hint="eastAsia" w:asciiTheme="minorEastAsia" w:hAnsiTheme="minorEastAsia" w:cstheme="minorEastAsia"/>
                <w:b/>
                <w:bCs/>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kern w:val="0"/>
                <w:sz w:val="20"/>
                <w:szCs w:val="20"/>
              </w:rPr>
            </w:pPr>
            <w:r>
              <w:rPr>
                <w:rFonts w:hint="eastAsia" w:asciiTheme="minorEastAsia" w:hAnsiTheme="minorEastAsia" w:cstheme="minorEastAsia"/>
                <w:b/>
                <w:bCs/>
                <w:kern w:val="0"/>
                <w:sz w:val="20"/>
                <w:szCs w:val="20"/>
                <w:lang w:val="en-US" w:eastAsia="zh-CN"/>
              </w:rPr>
              <w:t>0.00</w:t>
            </w:r>
          </w:p>
        </w:tc>
      </w:tr>
      <w:tr>
        <w:tblPrEx>
          <w:tblCellMar>
            <w:top w:w="0" w:type="dxa"/>
            <w:left w:w="108" w:type="dxa"/>
            <w:bottom w:w="0" w:type="dxa"/>
            <w:right w:w="108" w:type="dxa"/>
          </w:tblCellMar>
        </w:tblPrEx>
        <w:trPr>
          <w:trHeight w:val="382"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22102</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住房改革支出</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148.74</w:t>
            </w:r>
          </w:p>
        </w:tc>
        <w:tc>
          <w:tcPr>
            <w:tcW w:w="12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kern w:val="0"/>
                <w:sz w:val="20"/>
                <w:szCs w:val="20"/>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148.74</w:t>
            </w:r>
          </w:p>
        </w:tc>
        <w:tc>
          <w:tcPr>
            <w:tcW w:w="1241"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b/>
                <w:bCs/>
                <w:i w:val="0"/>
                <w:iCs w:val="0"/>
                <w:color w:val="000000"/>
                <w:kern w:val="0"/>
                <w:sz w:val="20"/>
                <w:szCs w:val="20"/>
                <w:u w:val="none"/>
                <w:lang w:val="en-US" w:eastAsia="zh-CN" w:bidi="ar"/>
              </w:rPr>
            </w:pPr>
            <w:r>
              <w:rPr>
                <w:rFonts w:hint="eastAsia" w:asciiTheme="minorEastAsia" w:hAnsiTheme="minorEastAsia" w:cstheme="minorEastAsia"/>
                <w:b/>
                <w:bCs/>
                <w:i w:val="0"/>
                <w:iCs w:val="0"/>
                <w:color w:val="000000"/>
                <w:kern w:val="0"/>
                <w:sz w:val="20"/>
                <w:szCs w:val="20"/>
                <w:u w:val="none"/>
                <w:lang w:val="en-US" w:eastAsia="zh-CN" w:bidi="ar"/>
              </w:rPr>
              <w:t>0.00</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b/>
                <w:bCs/>
                <w:kern w:val="0"/>
                <w:sz w:val="20"/>
                <w:szCs w:val="20"/>
                <w:lang w:val="en-US" w:eastAsia="zh-CN"/>
              </w:rPr>
            </w:pPr>
            <w:r>
              <w:rPr>
                <w:rFonts w:hint="eastAsia" w:asciiTheme="minorEastAsia" w:hAnsiTheme="minorEastAsia" w:cstheme="minorEastAsia"/>
                <w:b/>
                <w:bCs/>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kern w:val="0"/>
                <w:sz w:val="20"/>
                <w:szCs w:val="20"/>
              </w:rPr>
            </w:pPr>
            <w:r>
              <w:rPr>
                <w:rFonts w:hint="eastAsia" w:asciiTheme="minorEastAsia" w:hAnsiTheme="minorEastAsia" w:cstheme="minorEastAsia"/>
                <w:b/>
                <w:bCs/>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kern w:val="0"/>
                <w:sz w:val="20"/>
                <w:szCs w:val="20"/>
              </w:rPr>
            </w:pPr>
            <w:r>
              <w:rPr>
                <w:rFonts w:hint="eastAsia" w:asciiTheme="minorEastAsia" w:hAnsiTheme="minorEastAsia" w:cstheme="minorEastAsia"/>
                <w:b/>
                <w:bCs/>
                <w:kern w:val="0"/>
                <w:sz w:val="20"/>
                <w:szCs w:val="20"/>
                <w:lang w:val="en-US" w:eastAsia="zh-CN"/>
              </w:rPr>
              <w:t>0.00</w:t>
            </w:r>
          </w:p>
        </w:tc>
      </w:tr>
      <w:tr>
        <w:tblPrEx>
          <w:tblCellMar>
            <w:top w:w="0" w:type="dxa"/>
            <w:left w:w="108" w:type="dxa"/>
            <w:bottom w:w="0" w:type="dxa"/>
            <w:right w:w="108" w:type="dxa"/>
          </w:tblCellMar>
        </w:tblPrEx>
        <w:trPr>
          <w:trHeight w:val="354"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2210201</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住房公积金</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108.74</w:t>
            </w:r>
          </w:p>
        </w:tc>
        <w:tc>
          <w:tcPr>
            <w:tcW w:w="12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108.74</w:t>
            </w:r>
          </w:p>
        </w:tc>
        <w:tc>
          <w:tcPr>
            <w:tcW w:w="1241"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0.00</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r>
      <w:tr>
        <w:tblPrEx>
          <w:tblCellMar>
            <w:top w:w="0" w:type="dxa"/>
            <w:left w:w="108" w:type="dxa"/>
            <w:bottom w:w="0" w:type="dxa"/>
            <w:right w:w="108" w:type="dxa"/>
          </w:tblCellMar>
        </w:tblPrEx>
        <w:trPr>
          <w:trHeight w:val="341" w:hRule="atLeast"/>
        </w:trPr>
        <w:tc>
          <w:tcPr>
            <w:tcW w:w="1148"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2210203</w:t>
            </w:r>
          </w:p>
        </w:tc>
        <w:tc>
          <w:tcPr>
            <w:tcW w:w="3668"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购房补贴</w:t>
            </w:r>
          </w:p>
        </w:tc>
        <w:tc>
          <w:tcPr>
            <w:tcW w:w="148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40.00</w:t>
            </w:r>
          </w:p>
        </w:tc>
        <w:tc>
          <w:tcPr>
            <w:tcW w:w="12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40.00</w:t>
            </w:r>
          </w:p>
        </w:tc>
        <w:tc>
          <w:tcPr>
            <w:tcW w:w="1241"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0.00</w:t>
            </w:r>
          </w:p>
        </w:tc>
        <w:tc>
          <w:tcPr>
            <w:tcW w:w="1500" w:type="dxa"/>
            <w:tcBorders>
              <w:top w:val="nil"/>
              <w:left w:val="nil"/>
              <w:bottom w:val="single" w:color="auto" w:sz="4" w:space="0"/>
              <w:right w:val="single" w:color="auto" w:sz="4" w:space="0"/>
            </w:tcBorders>
            <w:shd w:val="clear" w:color="auto" w:fill="auto"/>
            <w:noWrap/>
            <w:vAlign w:val="center"/>
          </w:tcPr>
          <w:p>
            <w:pPr>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81"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c>
          <w:tcPr>
            <w:tcW w:w="2042"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r>
      <w:tr>
        <w:tblPrEx>
          <w:tblCellMar>
            <w:top w:w="0" w:type="dxa"/>
            <w:left w:w="108" w:type="dxa"/>
            <w:bottom w:w="0" w:type="dxa"/>
            <w:right w:w="108" w:type="dxa"/>
          </w:tblCellMar>
        </w:tblPrEx>
        <w:trPr>
          <w:trHeight w:val="630" w:hRule="atLeast"/>
        </w:trPr>
        <w:tc>
          <w:tcPr>
            <w:tcW w:w="13594" w:type="dxa"/>
            <w:gridSpan w:val="10"/>
            <w:tcBorders>
              <w:top w:val="nil"/>
              <w:left w:val="nil"/>
              <w:bottom w:val="nil"/>
              <w:right w:val="nil"/>
            </w:tcBorders>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注：本表反映部门本年度各项支出情况。</w:t>
            </w:r>
          </w:p>
        </w:tc>
      </w:tr>
    </w:tbl>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tbl>
      <w:tblPr>
        <w:tblStyle w:val="6"/>
        <w:tblW w:w="15521" w:type="dxa"/>
        <w:tblInd w:w="93" w:type="dxa"/>
        <w:tblLayout w:type="fixed"/>
        <w:tblCellMar>
          <w:top w:w="0" w:type="dxa"/>
          <w:left w:w="108" w:type="dxa"/>
          <w:bottom w:w="0" w:type="dxa"/>
          <w:right w:w="108" w:type="dxa"/>
        </w:tblCellMar>
      </w:tblPr>
      <w:tblGrid>
        <w:gridCol w:w="2853"/>
        <w:gridCol w:w="695"/>
        <w:gridCol w:w="1282"/>
        <w:gridCol w:w="695"/>
        <w:gridCol w:w="3494"/>
        <w:gridCol w:w="649"/>
        <w:gridCol w:w="1551"/>
        <w:gridCol w:w="1375"/>
        <w:gridCol w:w="1481"/>
        <w:gridCol w:w="1446"/>
      </w:tblGrid>
      <w:tr>
        <w:tblPrEx>
          <w:tblCellMar>
            <w:top w:w="0" w:type="dxa"/>
            <w:left w:w="108" w:type="dxa"/>
            <w:bottom w:w="0" w:type="dxa"/>
            <w:right w:w="108" w:type="dxa"/>
          </w:tblCellMar>
        </w:tblPrEx>
        <w:trPr>
          <w:trHeight w:val="285" w:hRule="atLeast"/>
        </w:trPr>
        <w:tc>
          <w:tcPr>
            <w:tcW w:w="2853" w:type="dxa"/>
            <w:tcBorders>
              <w:top w:val="nil"/>
              <w:left w:val="nil"/>
              <w:bottom w:val="nil"/>
              <w:right w:val="nil"/>
            </w:tcBorders>
            <w:shd w:val="clear" w:color="auto" w:fill="auto"/>
            <w:noWrap/>
            <w:vAlign w:val="center"/>
          </w:tcPr>
          <w:p>
            <w:pPr>
              <w:widowControl/>
              <w:jc w:val="left"/>
              <w:rPr>
                <w:rFonts w:ascii="黑体" w:hAnsi="黑体" w:eastAsia="黑体" w:cs="宋体"/>
                <w:kern w:val="0"/>
                <w:sz w:val="24"/>
                <w:szCs w:val="24"/>
              </w:rPr>
            </w:pPr>
            <w:bookmarkStart w:id="0" w:name="RANGE!A1:I22"/>
            <w:bookmarkEnd w:id="0"/>
            <w:bookmarkStart w:id="1" w:name="RANGE!A1:F16"/>
          </w:p>
        </w:tc>
        <w:tc>
          <w:tcPr>
            <w:tcW w:w="695"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977"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34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649"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51"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75"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481"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446"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360" w:hRule="atLeast"/>
        </w:trPr>
        <w:tc>
          <w:tcPr>
            <w:tcW w:w="15521" w:type="dxa"/>
            <w:gridSpan w:val="10"/>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tblPrEx>
          <w:tblCellMar>
            <w:top w:w="0" w:type="dxa"/>
            <w:left w:w="108" w:type="dxa"/>
            <w:bottom w:w="0" w:type="dxa"/>
            <w:right w:w="108" w:type="dxa"/>
          </w:tblCellMar>
        </w:tblPrEx>
        <w:trPr>
          <w:trHeight w:val="199" w:hRule="atLeast"/>
        </w:trPr>
        <w:tc>
          <w:tcPr>
            <w:tcW w:w="285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9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28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189"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49"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5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7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8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4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CellMar>
            <w:top w:w="0" w:type="dxa"/>
            <w:left w:w="108" w:type="dxa"/>
            <w:bottom w:w="0" w:type="dxa"/>
            <w:right w:w="108" w:type="dxa"/>
          </w:tblCellMar>
        </w:tblPrEx>
        <w:trPr>
          <w:trHeight w:val="90" w:hRule="atLeast"/>
        </w:trPr>
        <w:tc>
          <w:tcPr>
            <w:tcW w:w="4830" w:type="dxa"/>
            <w:gridSpan w:val="3"/>
            <w:tcBorders>
              <w:top w:val="nil"/>
              <w:left w:val="nil"/>
              <w:bottom w:val="nil"/>
              <w:right w:val="nil"/>
            </w:tcBorders>
            <w:shd w:val="clear" w:color="000000" w:fill="FFFFFF"/>
            <w:noWrap/>
            <w:vAlign w:val="center"/>
          </w:tcPr>
          <w:p>
            <w:pPr>
              <w:jc w:val="left"/>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部门：湖南省环境保护科学研究院</w:t>
            </w:r>
          </w:p>
        </w:tc>
        <w:tc>
          <w:tcPr>
            <w:tcW w:w="4189" w:type="dxa"/>
            <w:gridSpan w:val="2"/>
            <w:tcBorders>
              <w:top w:val="nil"/>
              <w:left w:val="nil"/>
              <w:bottom w:val="nil"/>
              <w:right w:val="nil"/>
            </w:tcBorders>
            <w:shd w:val="clear" w:color="000000" w:fill="FFFFFF"/>
            <w:noWrap/>
            <w:vAlign w:val="center"/>
          </w:tcPr>
          <w:p>
            <w:pPr>
              <w:jc w:val="right"/>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2021年度</w:t>
            </w:r>
          </w:p>
        </w:tc>
        <w:tc>
          <w:tcPr>
            <w:tcW w:w="2200" w:type="dxa"/>
            <w:gridSpan w:val="2"/>
            <w:tcBorders>
              <w:top w:val="nil"/>
              <w:left w:val="nil"/>
              <w:bottom w:val="nil"/>
              <w:right w:val="nil"/>
            </w:tcBorders>
            <w:shd w:val="clear" w:color="000000" w:fill="FFFFFF"/>
            <w:noWrap/>
            <w:vAlign w:val="center"/>
          </w:tcPr>
          <w:p>
            <w:pPr>
              <w:jc w:val="left"/>
              <w:rPr>
                <w:rFonts w:ascii="宋体" w:hAnsi="宋体" w:eastAsia="宋体" w:cs="宋体"/>
                <w:kern w:val="0"/>
                <w:sz w:val="24"/>
                <w:szCs w:val="24"/>
              </w:rPr>
            </w:pPr>
          </w:p>
        </w:tc>
        <w:tc>
          <w:tcPr>
            <w:tcW w:w="1375" w:type="dxa"/>
            <w:tcBorders>
              <w:top w:val="nil"/>
              <w:left w:val="nil"/>
              <w:bottom w:val="nil"/>
              <w:right w:val="nil"/>
            </w:tcBorders>
            <w:shd w:val="clear" w:color="000000" w:fill="FFFFFF"/>
            <w:noWrap/>
            <w:vAlign w:val="center"/>
          </w:tcPr>
          <w:p>
            <w:pPr>
              <w:jc w:val="left"/>
              <w:rPr>
                <w:rFonts w:ascii="宋体" w:hAnsi="宋体" w:eastAsia="宋体" w:cs="宋体"/>
                <w:kern w:val="0"/>
                <w:sz w:val="24"/>
                <w:szCs w:val="24"/>
              </w:rPr>
            </w:pPr>
          </w:p>
        </w:tc>
        <w:tc>
          <w:tcPr>
            <w:tcW w:w="2927" w:type="dxa"/>
            <w:gridSpan w:val="2"/>
            <w:tcBorders>
              <w:top w:val="nil"/>
              <w:left w:val="nil"/>
              <w:bottom w:val="nil"/>
              <w:right w:val="nil"/>
            </w:tcBorders>
            <w:shd w:val="clear" w:color="000000" w:fill="FFFFFF"/>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22"/>
                <w:szCs w:val="22"/>
                <w:u w:val="none"/>
                <w:lang w:val="en-US" w:eastAsia="zh-CN" w:bidi="ar"/>
              </w:rPr>
              <w:t>金额单位：万元</w:t>
            </w:r>
          </w:p>
        </w:tc>
      </w:tr>
      <w:tr>
        <w:tblPrEx>
          <w:tblCellMar>
            <w:top w:w="0" w:type="dxa"/>
            <w:left w:w="108" w:type="dxa"/>
            <w:bottom w:w="0" w:type="dxa"/>
            <w:right w:w="108" w:type="dxa"/>
          </w:tblCellMar>
        </w:tblPrEx>
        <w:trPr>
          <w:trHeight w:val="365" w:hRule="atLeast"/>
        </w:trPr>
        <w:tc>
          <w:tcPr>
            <w:tcW w:w="4830"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收     入</w:t>
            </w:r>
          </w:p>
        </w:tc>
        <w:tc>
          <w:tcPr>
            <w:tcW w:w="10691" w:type="dxa"/>
            <w:gridSpan w:val="7"/>
            <w:tcBorders>
              <w:top w:val="single" w:color="auto" w:sz="4" w:space="0"/>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支     出</w:t>
            </w:r>
          </w:p>
        </w:tc>
      </w:tr>
      <w:tr>
        <w:tblPrEx>
          <w:tblCellMar>
            <w:top w:w="0" w:type="dxa"/>
            <w:left w:w="108" w:type="dxa"/>
            <w:bottom w:w="0" w:type="dxa"/>
            <w:right w:w="108" w:type="dxa"/>
          </w:tblCellMar>
        </w:tblPrEx>
        <w:trPr>
          <w:trHeight w:val="630" w:hRule="atLeast"/>
        </w:trPr>
        <w:tc>
          <w:tcPr>
            <w:tcW w:w="285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项目</w:t>
            </w:r>
          </w:p>
        </w:tc>
        <w:tc>
          <w:tcPr>
            <w:tcW w:w="69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行次</w:t>
            </w:r>
          </w:p>
        </w:tc>
        <w:tc>
          <w:tcPr>
            <w:tcW w:w="128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金额</w:t>
            </w:r>
          </w:p>
        </w:tc>
        <w:tc>
          <w:tcPr>
            <w:tcW w:w="418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项目</w:t>
            </w:r>
          </w:p>
        </w:tc>
        <w:tc>
          <w:tcPr>
            <w:tcW w:w="6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行次</w:t>
            </w:r>
          </w:p>
        </w:tc>
        <w:tc>
          <w:tcPr>
            <w:tcW w:w="155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合计</w:t>
            </w:r>
          </w:p>
        </w:tc>
        <w:tc>
          <w:tcPr>
            <w:tcW w:w="13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一般公共预算财政拨款</w:t>
            </w:r>
          </w:p>
        </w:tc>
        <w:tc>
          <w:tcPr>
            <w:tcW w:w="148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政府性基金预算财政拨款</w:t>
            </w:r>
          </w:p>
        </w:tc>
        <w:tc>
          <w:tcPr>
            <w:tcW w:w="144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国有资本经营预算财政拨款</w:t>
            </w:r>
          </w:p>
        </w:tc>
      </w:tr>
      <w:tr>
        <w:tblPrEx>
          <w:tblCellMar>
            <w:top w:w="0" w:type="dxa"/>
            <w:left w:w="108" w:type="dxa"/>
            <w:bottom w:w="0" w:type="dxa"/>
            <w:right w:w="108" w:type="dxa"/>
          </w:tblCellMar>
        </w:tblPrEx>
        <w:trPr>
          <w:trHeight w:val="333" w:hRule="atLeast"/>
        </w:trPr>
        <w:tc>
          <w:tcPr>
            <w:tcW w:w="285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栏次</w:t>
            </w:r>
          </w:p>
        </w:tc>
        <w:tc>
          <w:tcPr>
            <w:tcW w:w="695"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p>
        </w:tc>
        <w:tc>
          <w:tcPr>
            <w:tcW w:w="128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1</w:t>
            </w:r>
          </w:p>
        </w:tc>
        <w:tc>
          <w:tcPr>
            <w:tcW w:w="4189" w:type="dxa"/>
            <w:gridSpan w:val="2"/>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栏次</w:t>
            </w:r>
          </w:p>
        </w:tc>
        <w:tc>
          <w:tcPr>
            <w:tcW w:w="649"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p>
        </w:tc>
        <w:tc>
          <w:tcPr>
            <w:tcW w:w="155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2</w:t>
            </w:r>
          </w:p>
        </w:tc>
        <w:tc>
          <w:tcPr>
            <w:tcW w:w="13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3</w:t>
            </w:r>
          </w:p>
        </w:tc>
        <w:tc>
          <w:tcPr>
            <w:tcW w:w="148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4</w:t>
            </w:r>
          </w:p>
        </w:tc>
        <w:tc>
          <w:tcPr>
            <w:tcW w:w="144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5</w:t>
            </w:r>
          </w:p>
        </w:tc>
      </w:tr>
      <w:tr>
        <w:tblPrEx>
          <w:tblCellMar>
            <w:top w:w="0" w:type="dxa"/>
            <w:left w:w="108" w:type="dxa"/>
            <w:bottom w:w="0" w:type="dxa"/>
            <w:right w:w="108" w:type="dxa"/>
          </w:tblCellMar>
        </w:tblPrEx>
        <w:trPr>
          <w:trHeight w:val="347" w:hRule="atLeast"/>
        </w:trPr>
        <w:tc>
          <w:tcPr>
            <w:tcW w:w="285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一、一般公共预算财政拨款</w:t>
            </w:r>
          </w:p>
        </w:tc>
        <w:tc>
          <w:tcPr>
            <w:tcW w:w="69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w:t>
            </w:r>
          </w:p>
        </w:tc>
        <w:tc>
          <w:tcPr>
            <w:tcW w:w="128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3,404.60</w:t>
            </w:r>
          </w:p>
        </w:tc>
        <w:tc>
          <w:tcPr>
            <w:tcW w:w="418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6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33</w:t>
            </w:r>
          </w:p>
        </w:tc>
        <w:tc>
          <w:tcPr>
            <w:tcW w:w="1551" w:type="dxa"/>
            <w:tcBorders>
              <w:top w:val="nil"/>
              <w:left w:val="nil"/>
              <w:bottom w:val="single" w:color="auto" w:sz="4" w:space="0"/>
              <w:right w:val="single" w:color="auto" w:sz="4" w:space="0"/>
            </w:tcBorders>
            <w:shd w:val="clear" w:color="auto" w:fill="auto"/>
            <w:noWrap/>
            <w:vAlign w:val="center"/>
          </w:tcPr>
          <w:p>
            <w:pPr>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0.00</w:t>
            </w:r>
          </w:p>
        </w:tc>
        <w:tc>
          <w:tcPr>
            <w:tcW w:w="1375"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48" w:hRule="atLeast"/>
        </w:trPr>
        <w:tc>
          <w:tcPr>
            <w:tcW w:w="285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二、政府性基金预算财政拨款</w:t>
            </w:r>
          </w:p>
        </w:tc>
        <w:tc>
          <w:tcPr>
            <w:tcW w:w="69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2</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0.00</w:t>
            </w:r>
          </w:p>
        </w:tc>
        <w:tc>
          <w:tcPr>
            <w:tcW w:w="418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二、外交支出</w:t>
            </w:r>
          </w:p>
        </w:tc>
        <w:tc>
          <w:tcPr>
            <w:tcW w:w="6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34</w:t>
            </w:r>
          </w:p>
        </w:tc>
        <w:tc>
          <w:tcPr>
            <w:tcW w:w="155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75"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34" w:hRule="atLeast"/>
        </w:trPr>
        <w:tc>
          <w:tcPr>
            <w:tcW w:w="285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三、国有资本经营财政拨款</w:t>
            </w:r>
          </w:p>
        </w:tc>
        <w:tc>
          <w:tcPr>
            <w:tcW w:w="69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3</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0.00</w:t>
            </w:r>
          </w:p>
        </w:tc>
        <w:tc>
          <w:tcPr>
            <w:tcW w:w="418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三、国防支出</w:t>
            </w:r>
          </w:p>
        </w:tc>
        <w:tc>
          <w:tcPr>
            <w:tcW w:w="6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35</w:t>
            </w:r>
          </w:p>
        </w:tc>
        <w:tc>
          <w:tcPr>
            <w:tcW w:w="155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75"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47" w:hRule="atLeast"/>
        </w:trPr>
        <w:tc>
          <w:tcPr>
            <w:tcW w:w="2853" w:type="dxa"/>
            <w:tcBorders>
              <w:top w:val="nil"/>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kern w:val="0"/>
                <w:sz w:val="22"/>
              </w:rPr>
            </w:pPr>
          </w:p>
        </w:tc>
        <w:tc>
          <w:tcPr>
            <w:tcW w:w="69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418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四、公共安全支出</w:t>
            </w:r>
          </w:p>
        </w:tc>
        <w:tc>
          <w:tcPr>
            <w:tcW w:w="6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36</w:t>
            </w:r>
          </w:p>
        </w:tc>
        <w:tc>
          <w:tcPr>
            <w:tcW w:w="155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75"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53" w:hRule="atLeast"/>
        </w:trPr>
        <w:tc>
          <w:tcPr>
            <w:tcW w:w="2853" w:type="dxa"/>
            <w:tcBorders>
              <w:top w:val="nil"/>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kern w:val="0"/>
                <w:sz w:val="22"/>
              </w:rPr>
            </w:pPr>
          </w:p>
        </w:tc>
        <w:tc>
          <w:tcPr>
            <w:tcW w:w="69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5</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418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五、教育支出</w:t>
            </w:r>
          </w:p>
        </w:tc>
        <w:tc>
          <w:tcPr>
            <w:tcW w:w="6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37</w:t>
            </w:r>
          </w:p>
        </w:tc>
        <w:tc>
          <w:tcPr>
            <w:tcW w:w="155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75"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39" w:hRule="atLeast"/>
        </w:trPr>
        <w:tc>
          <w:tcPr>
            <w:tcW w:w="2853" w:type="dxa"/>
            <w:tcBorders>
              <w:top w:val="nil"/>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kern w:val="0"/>
                <w:sz w:val="22"/>
              </w:rPr>
            </w:pPr>
          </w:p>
        </w:tc>
        <w:tc>
          <w:tcPr>
            <w:tcW w:w="69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6</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418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六、科学技术支出</w:t>
            </w:r>
          </w:p>
        </w:tc>
        <w:tc>
          <w:tcPr>
            <w:tcW w:w="6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38</w:t>
            </w:r>
          </w:p>
        </w:tc>
        <w:tc>
          <w:tcPr>
            <w:tcW w:w="155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1,152.86</w:t>
            </w:r>
          </w:p>
        </w:tc>
        <w:tc>
          <w:tcPr>
            <w:tcW w:w="13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1,152.86</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20" w:hRule="atLeast"/>
        </w:trPr>
        <w:tc>
          <w:tcPr>
            <w:tcW w:w="2853" w:type="dxa"/>
            <w:tcBorders>
              <w:top w:val="nil"/>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kern w:val="0"/>
                <w:sz w:val="22"/>
              </w:rPr>
            </w:pPr>
          </w:p>
        </w:tc>
        <w:tc>
          <w:tcPr>
            <w:tcW w:w="69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7</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418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七、文化旅游体育与传媒支出</w:t>
            </w:r>
          </w:p>
        </w:tc>
        <w:tc>
          <w:tcPr>
            <w:tcW w:w="6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39</w:t>
            </w:r>
          </w:p>
        </w:tc>
        <w:tc>
          <w:tcPr>
            <w:tcW w:w="155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75"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20" w:hRule="atLeast"/>
        </w:trPr>
        <w:tc>
          <w:tcPr>
            <w:tcW w:w="2853" w:type="dxa"/>
            <w:tcBorders>
              <w:top w:val="nil"/>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kern w:val="0"/>
                <w:sz w:val="22"/>
              </w:rPr>
            </w:pPr>
          </w:p>
        </w:tc>
        <w:tc>
          <w:tcPr>
            <w:tcW w:w="69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8</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418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八、社会保障和就业支出</w:t>
            </w:r>
          </w:p>
        </w:tc>
        <w:tc>
          <w:tcPr>
            <w:tcW w:w="6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40</w:t>
            </w:r>
          </w:p>
        </w:tc>
        <w:tc>
          <w:tcPr>
            <w:tcW w:w="155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420.76</w:t>
            </w:r>
          </w:p>
        </w:tc>
        <w:tc>
          <w:tcPr>
            <w:tcW w:w="13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420.76</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299" w:hRule="atLeast"/>
        </w:trPr>
        <w:tc>
          <w:tcPr>
            <w:tcW w:w="2853" w:type="dxa"/>
            <w:tcBorders>
              <w:top w:val="nil"/>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b/>
                <w:bCs/>
                <w:kern w:val="0"/>
                <w:sz w:val="22"/>
              </w:rPr>
            </w:pPr>
          </w:p>
        </w:tc>
        <w:tc>
          <w:tcPr>
            <w:tcW w:w="69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9</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418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九、卫生健康支出</w:t>
            </w:r>
          </w:p>
        </w:tc>
        <w:tc>
          <w:tcPr>
            <w:tcW w:w="6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41</w:t>
            </w:r>
          </w:p>
        </w:tc>
        <w:tc>
          <w:tcPr>
            <w:tcW w:w="155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75"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07" w:hRule="atLeast"/>
        </w:trPr>
        <w:tc>
          <w:tcPr>
            <w:tcW w:w="2853" w:type="dxa"/>
            <w:tcBorders>
              <w:top w:val="nil"/>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kern w:val="0"/>
                <w:sz w:val="22"/>
              </w:rPr>
            </w:pPr>
          </w:p>
        </w:tc>
        <w:tc>
          <w:tcPr>
            <w:tcW w:w="69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10</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418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十、节能环保支出</w:t>
            </w:r>
          </w:p>
        </w:tc>
        <w:tc>
          <w:tcPr>
            <w:tcW w:w="6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42</w:t>
            </w:r>
          </w:p>
        </w:tc>
        <w:tc>
          <w:tcPr>
            <w:tcW w:w="155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1,875.94</w:t>
            </w:r>
          </w:p>
        </w:tc>
        <w:tc>
          <w:tcPr>
            <w:tcW w:w="13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1,875.94</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20" w:hRule="atLeast"/>
        </w:trPr>
        <w:tc>
          <w:tcPr>
            <w:tcW w:w="2853" w:type="dxa"/>
            <w:tcBorders>
              <w:top w:val="nil"/>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kern w:val="0"/>
                <w:sz w:val="22"/>
              </w:rPr>
            </w:pPr>
          </w:p>
        </w:tc>
        <w:tc>
          <w:tcPr>
            <w:tcW w:w="69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11</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418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十一、城乡社区支出</w:t>
            </w:r>
          </w:p>
        </w:tc>
        <w:tc>
          <w:tcPr>
            <w:tcW w:w="6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43</w:t>
            </w:r>
          </w:p>
        </w:tc>
        <w:tc>
          <w:tcPr>
            <w:tcW w:w="155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75"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20" w:hRule="atLeast"/>
        </w:trPr>
        <w:tc>
          <w:tcPr>
            <w:tcW w:w="2853" w:type="dxa"/>
            <w:tcBorders>
              <w:top w:val="nil"/>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kern w:val="0"/>
                <w:sz w:val="22"/>
              </w:rPr>
            </w:pPr>
          </w:p>
        </w:tc>
        <w:tc>
          <w:tcPr>
            <w:tcW w:w="69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12</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418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十二、农林水支出</w:t>
            </w:r>
          </w:p>
        </w:tc>
        <w:tc>
          <w:tcPr>
            <w:tcW w:w="6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44</w:t>
            </w:r>
          </w:p>
        </w:tc>
        <w:tc>
          <w:tcPr>
            <w:tcW w:w="155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75"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61" w:hRule="atLeast"/>
        </w:trPr>
        <w:tc>
          <w:tcPr>
            <w:tcW w:w="2853" w:type="dxa"/>
            <w:tcBorders>
              <w:top w:val="nil"/>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kern w:val="0"/>
                <w:sz w:val="22"/>
              </w:rPr>
            </w:pPr>
          </w:p>
        </w:tc>
        <w:tc>
          <w:tcPr>
            <w:tcW w:w="69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13</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418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十三、交通运输支出</w:t>
            </w:r>
          </w:p>
        </w:tc>
        <w:tc>
          <w:tcPr>
            <w:tcW w:w="6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45</w:t>
            </w:r>
          </w:p>
        </w:tc>
        <w:tc>
          <w:tcPr>
            <w:tcW w:w="155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75"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34" w:hRule="atLeast"/>
        </w:trPr>
        <w:tc>
          <w:tcPr>
            <w:tcW w:w="2853" w:type="dxa"/>
            <w:tcBorders>
              <w:top w:val="nil"/>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b/>
                <w:bCs/>
                <w:kern w:val="0"/>
                <w:sz w:val="22"/>
              </w:rPr>
            </w:pPr>
          </w:p>
        </w:tc>
        <w:tc>
          <w:tcPr>
            <w:tcW w:w="69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14</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4189"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十四、资源勘探工业信息等支出</w:t>
            </w:r>
          </w:p>
        </w:tc>
        <w:tc>
          <w:tcPr>
            <w:tcW w:w="649"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46</w:t>
            </w:r>
          </w:p>
        </w:tc>
        <w:tc>
          <w:tcPr>
            <w:tcW w:w="155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48" w:hRule="atLeast"/>
        </w:trPr>
        <w:tc>
          <w:tcPr>
            <w:tcW w:w="2853" w:type="dxa"/>
            <w:tcBorders>
              <w:top w:val="nil"/>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b/>
                <w:bCs/>
                <w:kern w:val="0"/>
                <w:sz w:val="22"/>
              </w:rPr>
            </w:pPr>
          </w:p>
        </w:tc>
        <w:tc>
          <w:tcPr>
            <w:tcW w:w="69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15</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4189"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十五、商业服务业等支出</w:t>
            </w:r>
          </w:p>
        </w:tc>
        <w:tc>
          <w:tcPr>
            <w:tcW w:w="649"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47</w:t>
            </w:r>
          </w:p>
        </w:tc>
        <w:tc>
          <w:tcPr>
            <w:tcW w:w="155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47" w:hRule="atLeast"/>
        </w:trPr>
        <w:tc>
          <w:tcPr>
            <w:tcW w:w="2853" w:type="dxa"/>
            <w:tcBorders>
              <w:top w:val="nil"/>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b/>
                <w:bCs/>
                <w:kern w:val="0"/>
                <w:sz w:val="22"/>
              </w:rPr>
            </w:pPr>
          </w:p>
        </w:tc>
        <w:tc>
          <w:tcPr>
            <w:tcW w:w="69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16</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4189"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十六、金融支出</w:t>
            </w:r>
          </w:p>
        </w:tc>
        <w:tc>
          <w:tcPr>
            <w:tcW w:w="649"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48</w:t>
            </w:r>
          </w:p>
        </w:tc>
        <w:tc>
          <w:tcPr>
            <w:tcW w:w="155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34" w:hRule="atLeast"/>
        </w:trPr>
        <w:tc>
          <w:tcPr>
            <w:tcW w:w="2853" w:type="dxa"/>
            <w:tcBorders>
              <w:top w:val="nil"/>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b/>
                <w:bCs/>
                <w:kern w:val="0"/>
                <w:sz w:val="22"/>
              </w:rPr>
            </w:pPr>
          </w:p>
        </w:tc>
        <w:tc>
          <w:tcPr>
            <w:tcW w:w="69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17</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4189"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十七、援助其他地区支出</w:t>
            </w:r>
          </w:p>
        </w:tc>
        <w:tc>
          <w:tcPr>
            <w:tcW w:w="649"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49</w:t>
            </w:r>
          </w:p>
        </w:tc>
        <w:tc>
          <w:tcPr>
            <w:tcW w:w="155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292" w:hRule="atLeast"/>
        </w:trPr>
        <w:tc>
          <w:tcPr>
            <w:tcW w:w="2853" w:type="dxa"/>
            <w:tcBorders>
              <w:top w:val="nil"/>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b/>
                <w:bCs/>
                <w:kern w:val="0"/>
                <w:sz w:val="22"/>
              </w:rPr>
            </w:pPr>
          </w:p>
        </w:tc>
        <w:tc>
          <w:tcPr>
            <w:tcW w:w="69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18</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4189"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十八、自然资源海洋气象等支出</w:t>
            </w:r>
          </w:p>
        </w:tc>
        <w:tc>
          <w:tcPr>
            <w:tcW w:w="649"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50</w:t>
            </w:r>
          </w:p>
        </w:tc>
        <w:tc>
          <w:tcPr>
            <w:tcW w:w="155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61" w:hRule="atLeast"/>
        </w:trPr>
        <w:tc>
          <w:tcPr>
            <w:tcW w:w="2853" w:type="dxa"/>
            <w:tcBorders>
              <w:top w:val="nil"/>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b/>
                <w:bCs/>
                <w:kern w:val="0"/>
                <w:sz w:val="22"/>
              </w:rPr>
            </w:pPr>
          </w:p>
        </w:tc>
        <w:tc>
          <w:tcPr>
            <w:tcW w:w="69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19</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4189"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十九、住房保障支出</w:t>
            </w:r>
          </w:p>
        </w:tc>
        <w:tc>
          <w:tcPr>
            <w:tcW w:w="649"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51</w:t>
            </w:r>
          </w:p>
        </w:tc>
        <w:tc>
          <w:tcPr>
            <w:tcW w:w="155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148.74</w:t>
            </w:r>
          </w:p>
        </w:tc>
        <w:tc>
          <w:tcPr>
            <w:tcW w:w="137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148.74</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35" w:hRule="atLeast"/>
        </w:trPr>
        <w:tc>
          <w:tcPr>
            <w:tcW w:w="2853" w:type="dxa"/>
            <w:tcBorders>
              <w:top w:val="nil"/>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b/>
                <w:bCs/>
                <w:kern w:val="0"/>
                <w:sz w:val="22"/>
              </w:rPr>
            </w:pPr>
          </w:p>
        </w:tc>
        <w:tc>
          <w:tcPr>
            <w:tcW w:w="69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4189"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二十、粮油物资储备支出</w:t>
            </w:r>
          </w:p>
        </w:tc>
        <w:tc>
          <w:tcPr>
            <w:tcW w:w="649"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52</w:t>
            </w:r>
          </w:p>
        </w:tc>
        <w:tc>
          <w:tcPr>
            <w:tcW w:w="155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47" w:hRule="atLeast"/>
        </w:trPr>
        <w:tc>
          <w:tcPr>
            <w:tcW w:w="2853" w:type="dxa"/>
            <w:tcBorders>
              <w:top w:val="nil"/>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b/>
                <w:bCs/>
                <w:kern w:val="0"/>
                <w:sz w:val="22"/>
              </w:rPr>
            </w:pPr>
          </w:p>
        </w:tc>
        <w:tc>
          <w:tcPr>
            <w:tcW w:w="69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4189"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二十一、国有资本经营预算支出</w:t>
            </w:r>
          </w:p>
        </w:tc>
        <w:tc>
          <w:tcPr>
            <w:tcW w:w="649"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53</w:t>
            </w:r>
          </w:p>
        </w:tc>
        <w:tc>
          <w:tcPr>
            <w:tcW w:w="155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88" w:hRule="atLeast"/>
        </w:trPr>
        <w:tc>
          <w:tcPr>
            <w:tcW w:w="2853" w:type="dxa"/>
            <w:tcBorders>
              <w:top w:val="nil"/>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b/>
                <w:bCs/>
                <w:kern w:val="0"/>
                <w:sz w:val="22"/>
              </w:rPr>
            </w:pPr>
          </w:p>
        </w:tc>
        <w:tc>
          <w:tcPr>
            <w:tcW w:w="69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22</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4189"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二十二、灾害防治及应急管理支出</w:t>
            </w:r>
          </w:p>
        </w:tc>
        <w:tc>
          <w:tcPr>
            <w:tcW w:w="649"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54</w:t>
            </w:r>
          </w:p>
        </w:tc>
        <w:tc>
          <w:tcPr>
            <w:tcW w:w="155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61" w:hRule="atLeast"/>
        </w:trPr>
        <w:tc>
          <w:tcPr>
            <w:tcW w:w="2853"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b/>
                <w:bCs/>
                <w:kern w:val="0"/>
                <w:sz w:val="22"/>
              </w:rPr>
            </w:pPr>
          </w:p>
        </w:tc>
        <w:tc>
          <w:tcPr>
            <w:tcW w:w="695" w:type="dxa"/>
            <w:tcBorders>
              <w:top w:val="single" w:color="auto" w:sz="4" w:space="0"/>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23</w:t>
            </w:r>
          </w:p>
        </w:tc>
        <w:tc>
          <w:tcPr>
            <w:tcW w:w="1282" w:type="dxa"/>
            <w:tcBorders>
              <w:top w:val="single" w:color="auto" w:sz="4" w:space="0"/>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4189" w:type="dxa"/>
            <w:gridSpan w:val="2"/>
            <w:tcBorders>
              <w:top w:val="single" w:color="auto" w:sz="4" w:space="0"/>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二十三、其他支出</w:t>
            </w:r>
          </w:p>
        </w:tc>
        <w:tc>
          <w:tcPr>
            <w:tcW w:w="649" w:type="dxa"/>
            <w:tcBorders>
              <w:top w:val="single" w:color="auto" w:sz="4" w:space="0"/>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55</w:t>
            </w:r>
          </w:p>
        </w:tc>
        <w:tc>
          <w:tcPr>
            <w:tcW w:w="1551" w:type="dxa"/>
            <w:tcBorders>
              <w:top w:val="single" w:color="auto" w:sz="4" w:space="0"/>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75" w:type="dxa"/>
            <w:tcBorders>
              <w:top w:val="single" w:color="auto" w:sz="4" w:space="0"/>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81" w:type="dxa"/>
            <w:tcBorders>
              <w:top w:val="single" w:color="auto" w:sz="4" w:space="0"/>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c>
          <w:tcPr>
            <w:tcW w:w="1446" w:type="dxa"/>
            <w:tcBorders>
              <w:top w:val="single" w:color="auto" w:sz="4" w:space="0"/>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75" w:hRule="atLeast"/>
        </w:trPr>
        <w:tc>
          <w:tcPr>
            <w:tcW w:w="2853" w:type="dxa"/>
            <w:tcBorders>
              <w:top w:val="nil"/>
              <w:left w:val="single" w:color="auto" w:sz="4" w:space="0"/>
              <w:bottom w:val="single" w:color="auto" w:sz="4" w:space="0"/>
              <w:right w:val="single" w:color="auto" w:sz="4" w:space="0"/>
            </w:tcBorders>
            <w:shd w:val="clear" w:color="000000" w:fill="FFFFFF"/>
            <w:noWrap/>
            <w:vAlign w:val="center"/>
          </w:tcPr>
          <w:p>
            <w:pPr>
              <w:jc w:val="center"/>
              <w:rPr>
                <w:rFonts w:ascii="宋体" w:hAnsi="宋体" w:eastAsia="宋体" w:cs="宋体"/>
                <w:b/>
                <w:bCs/>
                <w:kern w:val="0"/>
                <w:sz w:val="22"/>
              </w:rPr>
            </w:pPr>
          </w:p>
        </w:tc>
        <w:tc>
          <w:tcPr>
            <w:tcW w:w="69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24</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4189"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二十四、债务还本支出</w:t>
            </w:r>
          </w:p>
        </w:tc>
        <w:tc>
          <w:tcPr>
            <w:tcW w:w="649"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56</w:t>
            </w:r>
          </w:p>
        </w:tc>
        <w:tc>
          <w:tcPr>
            <w:tcW w:w="155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34" w:hRule="atLeast"/>
        </w:trPr>
        <w:tc>
          <w:tcPr>
            <w:tcW w:w="2853" w:type="dxa"/>
            <w:tcBorders>
              <w:top w:val="nil"/>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b/>
                <w:bCs/>
                <w:kern w:val="0"/>
                <w:sz w:val="22"/>
              </w:rPr>
            </w:pPr>
          </w:p>
        </w:tc>
        <w:tc>
          <w:tcPr>
            <w:tcW w:w="69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25</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4189"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二十五、债务付息支出</w:t>
            </w:r>
          </w:p>
        </w:tc>
        <w:tc>
          <w:tcPr>
            <w:tcW w:w="649"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57</w:t>
            </w:r>
          </w:p>
        </w:tc>
        <w:tc>
          <w:tcPr>
            <w:tcW w:w="155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34" w:hRule="atLeast"/>
        </w:trPr>
        <w:tc>
          <w:tcPr>
            <w:tcW w:w="2853"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b/>
                <w:bCs/>
                <w:kern w:val="0"/>
                <w:sz w:val="22"/>
              </w:rPr>
            </w:pPr>
          </w:p>
        </w:tc>
        <w:tc>
          <w:tcPr>
            <w:tcW w:w="695" w:type="dxa"/>
            <w:tcBorders>
              <w:top w:val="single" w:color="auto" w:sz="4" w:space="0"/>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26</w:t>
            </w:r>
          </w:p>
        </w:tc>
        <w:tc>
          <w:tcPr>
            <w:tcW w:w="1282" w:type="dxa"/>
            <w:tcBorders>
              <w:top w:val="single" w:color="auto" w:sz="4" w:space="0"/>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4189" w:type="dxa"/>
            <w:gridSpan w:val="2"/>
            <w:tcBorders>
              <w:top w:val="single" w:color="auto" w:sz="4" w:space="0"/>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二十六、抗疫特别国债安排的支出</w:t>
            </w:r>
          </w:p>
        </w:tc>
        <w:tc>
          <w:tcPr>
            <w:tcW w:w="649" w:type="dxa"/>
            <w:tcBorders>
              <w:top w:val="single" w:color="auto" w:sz="4" w:space="0"/>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58</w:t>
            </w:r>
          </w:p>
        </w:tc>
        <w:tc>
          <w:tcPr>
            <w:tcW w:w="1551" w:type="dxa"/>
            <w:tcBorders>
              <w:top w:val="single" w:color="auto" w:sz="4" w:space="0"/>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75" w:type="dxa"/>
            <w:tcBorders>
              <w:top w:val="single" w:color="auto" w:sz="4" w:space="0"/>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481" w:type="dxa"/>
            <w:tcBorders>
              <w:top w:val="single" w:color="auto" w:sz="4" w:space="0"/>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c>
          <w:tcPr>
            <w:tcW w:w="1446" w:type="dxa"/>
            <w:tcBorders>
              <w:top w:val="single" w:color="auto" w:sz="4" w:space="0"/>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61" w:hRule="atLeast"/>
        </w:trPr>
        <w:tc>
          <w:tcPr>
            <w:tcW w:w="2853"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宋体" w:hAnsi="宋体" w:eastAsia="宋体" w:cs="宋体"/>
                <w:b/>
                <w:bCs/>
                <w:kern w:val="0"/>
                <w:sz w:val="22"/>
              </w:rPr>
            </w:pPr>
            <w:r>
              <w:rPr>
                <w:rFonts w:hint="eastAsia" w:ascii="宋体" w:hAnsi="宋体" w:eastAsia="宋体" w:cs="宋体"/>
                <w:b/>
                <w:bCs/>
                <w:i w:val="0"/>
                <w:iCs w:val="0"/>
                <w:color w:val="000000"/>
                <w:kern w:val="0"/>
                <w:sz w:val="20"/>
                <w:szCs w:val="20"/>
                <w:u w:val="none"/>
                <w:lang w:val="en-US" w:eastAsia="zh-CN" w:bidi="ar"/>
              </w:rPr>
              <w:t>本年收入合计</w:t>
            </w:r>
          </w:p>
        </w:tc>
        <w:tc>
          <w:tcPr>
            <w:tcW w:w="69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27</w:t>
            </w:r>
          </w:p>
        </w:tc>
        <w:tc>
          <w:tcPr>
            <w:tcW w:w="128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b/>
                <w:bCs/>
                <w:i w:val="0"/>
                <w:iCs w:val="0"/>
                <w:color w:val="000000"/>
                <w:kern w:val="0"/>
                <w:sz w:val="20"/>
                <w:szCs w:val="20"/>
                <w:u w:val="none"/>
                <w:lang w:val="en-US" w:eastAsia="zh-CN" w:bidi="ar"/>
              </w:rPr>
              <w:t>3,404.60</w:t>
            </w:r>
          </w:p>
        </w:tc>
        <w:tc>
          <w:tcPr>
            <w:tcW w:w="4189"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本年支出合计</w:t>
            </w:r>
          </w:p>
        </w:tc>
        <w:tc>
          <w:tcPr>
            <w:tcW w:w="649"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59</w:t>
            </w:r>
          </w:p>
        </w:tc>
        <w:tc>
          <w:tcPr>
            <w:tcW w:w="155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right"/>
              <w:textAlignment w:val="center"/>
              <w:rPr>
                <w:rFonts w:ascii="宋体" w:hAnsi="宋体" w:eastAsia="宋体" w:cs="宋体"/>
                <w:b/>
                <w:bCs/>
                <w:kern w:val="0"/>
                <w:sz w:val="22"/>
              </w:rPr>
            </w:pPr>
            <w:r>
              <w:rPr>
                <w:rFonts w:hint="eastAsia" w:ascii="宋体" w:hAnsi="宋体" w:eastAsia="宋体" w:cs="宋体"/>
                <w:b/>
                <w:bCs/>
                <w:i w:val="0"/>
                <w:iCs w:val="0"/>
                <w:color w:val="000000"/>
                <w:kern w:val="0"/>
                <w:sz w:val="20"/>
                <w:szCs w:val="20"/>
                <w:u w:val="none"/>
                <w:lang w:val="en-US" w:eastAsia="zh-CN" w:bidi="ar"/>
              </w:rPr>
              <w:t>3,598.30</w:t>
            </w:r>
          </w:p>
        </w:tc>
        <w:tc>
          <w:tcPr>
            <w:tcW w:w="137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right"/>
              <w:textAlignment w:val="center"/>
              <w:rPr>
                <w:rFonts w:ascii="宋体" w:hAnsi="宋体" w:eastAsia="宋体" w:cs="宋体"/>
                <w:b/>
                <w:bCs/>
                <w:kern w:val="0"/>
                <w:sz w:val="22"/>
              </w:rPr>
            </w:pPr>
            <w:r>
              <w:rPr>
                <w:rFonts w:hint="eastAsia" w:ascii="宋体" w:hAnsi="宋体" w:eastAsia="宋体" w:cs="宋体"/>
                <w:b/>
                <w:bCs/>
                <w:i w:val="0"/>
                <w:iCs w:val="0"/>
                <w:color w:val="000000"/>
                <w:kern w:val="0"/>
                <w:sz w:val="20"/>
                <w:szCs w:val="20"/>
                <w:u w:val="none"/>
                <w:lang w:val="en-US" w:eastAsia="zh-CN" w:bidi="ar"/>
              </w:rPr>
              <w:t>3,598.30</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b/>
                <w:bCs/>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b/>
                <w:bCs/>
                <w:kern w:val="0"/>
                <w:sz w:val="22"/>
                <w:lang w:val="en-US" w:eastAsia="zh-CN"/>
              </w:rPr>
              <w:t>0.00</w:t>
            </w:r>
          </w:p>
        </w:tc>
      </w:tr>
      <w:tr>
        <w:tblPrEx>
          <w:tblCellMar>
            <w:top w:w="0" w:type="dxa"/>
            <w:left w:w="108" w:type="dxa"/>
            <w:bottom w:w="0" w:type="dxa"/>
            <w:right w:w="108" w:type="dxa"/>
          </w:tblCellMar>
        </w:tblPrEx>
        <w:trPr>
          <w:trHeight w:val="347" w:hRule="atLeast"/>
        </w:trPr>
        <w:tc>
          <w:tcPr>
            <w:tcW w:w="2853"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年初财政拨款结转和结余</w:t>
            </w:r>
          </w:p>
        </w:tc>
        <w:tc>
          <w:tcPr>
            <w:tcW w:w="69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28</w:t>
            </w:r>
          </w:p>
        </w:tc>
        <w:tc>
          <w:tcPr>
            <w:tcW w:w="128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1,341.01</w:t>
            </w:r>
          </w:p>
        </w:tc>
        <w:tc>
          <w:tcPr>
            <w:tcW w:w="4189"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年末财政拨款结转和结余</w:t>
            </w:r>
          </w:p>
        </w:tc>
        <w:tc>
          <w:tcPr>
            <w:tcW w:w="649"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60</w:t>
            </w:r>
          </w:p>
        </w:tc>
        <w:tc>
          <w:tcPr>
            <w:tcW w:w="155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1,147.31</w:t>
            </w:r>
          </w:p>
        </w:tc>
        <w:tc>
          <w:tcPr>
            <w:tcW w:w="137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1,147.31</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61" w:hRule="atLeast"/>
        </w:trPr>
        <w:tc>
          <w:tcPr>
            <w:tcW w:w="2853"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 xml:space="preserve">  一般公共预算财政拨款</w:t>
            </w:r>
          </w:p>
        </w:tc>
        <w:tc>
          <w:tcPr>
            <w:tcW w:w="69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29</w:t>
            </w:r>
          </w:p>
        </w:tc>
        <w:tc>
          <w:tcPr>
            <w:tcW w:w="128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1,341.01</w:t>
            </w:r>
          </w:p>
        </w:tc>
        <w:tc>
          <w:tcPr>
            <w:tcW w:w="4189" w:type="dxa"/>
            <w:gridSpan w:val="2"/>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i w:val="0"/>
                <w:iCs w:val="0"/>
                <w:color w:val="000000"/>
                <w:kern w:val="0"/>
                <w:sz w:val="20"/>
                <w:szCs w:val="20"/>
                <w:u w:val="none"/>
                <w:lang w:val="en-US" w:eastAsia="zh-CN" w:bidi="ar"/>
              </w:rPr>
            </w:pPr>
          </w:p>
        </w:tc>
        <w:tc>
          <w:tcPr>
            <w:tcW w:w="649"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61</w:t>
            </w:r>
          </w:p>
        </w:tc>
        <w:tc>
          <w:tcPr>
            <w:tcW w:w="155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p>
        </w:tc>
        <w:tc>
          <w:tcPr>
            <w:tcW w:w="13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p>
        </w:tc>
      </w:tr>
      <w:tr>
        <w:tblPrEx>
          <w:tblCellMar>
            <w:top w:w="0" w:type="dxa"/>
            <w:left w:w="108" w:type="dxa"/>
            <w:bottom w:w="0" w:type="dxa"/>
            <w:right w:w="108" w:type="dxa"/>
          </w:tblCellMar>
        </w:tblPrEx>
        <w:trPr>
          <w:trHeight w:val="334" w:hRule="atLeast"/>
        </w:trPr>
        <w:tc>
          <w:tcPr>
            <w:tcW w:w="2853"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 xml:space="preserve">  政府性基金预算财政拨款</w:t>
            </w:r>
          </w:p>
        </w:tc>
        <w:tc>
          <w:tcPr>
            <w:tcW w:w="69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0.00</w:t>
            </w:r>
          </w:p>
        </w:tc>
        <w:tc>
          <w:tcPr>
            <w:tcW w:w="4189" w:type="dxa"/>
            <w:gridSpan w:val="2"/>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i w:val="0"/>
                <w:iCs w:val="0"/>
                <w:color w:val="000000"/>
                <w:kern w:val="0"/>
                <w:sz w:val="20"/>
                <w:szCs w:val="20"/>
                <w:u w:val="none"/>
                <w:lang w:val="en-US" w:eastAsia="zh-CN" w:bidi="ar"/>
              </w:rPr>
            </w:pPr>
          </w:p>
        </w:tc>
        <w:tc>
          <w:tcPr>
            <w:tcW w:w="649"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62</w:t>
            </w:r>
          </w:p>
        </w:tc>
        <w:tc>
          <w:tcPr>
            <w:tcW w:w="155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p>
        </w:tc>
        <w:tc>
          <w:tcPr>
            <w:tcW w:w="13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p>
        </w:tc>
      </w:tr>
      <w:tr>
        <w:tblPrEx>
          <w:tblCellMar>
            <w:top w:w="0" w:type="dxa"/>
            <w:left w:w="108" w:type="dxa"/>
            <w:bottom w:w="0" w:type="dxa"/>
            <w:right w:w="108" w:type="dxa"/>
          </w:tblCellMar>
        </w:tblPrEx>
        <w:trPr>
          <w:trHeight w:val="320" w:hRule="atLeast"/>
        </w:trPr>
        <w:tc>
          <w:tcPr>
            <w:tcW w:w="2853"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 xml:space="preserve">  国有资本经营预算财政拨款</w:t>
            </w:r>
          </w:p>
        </w:tc>
        <w:tc>
          <w:tcPr>
            <w:tcW w:w="69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31</w:t>
            </w:r>
          </w:p>
        </w:tc>
        <w:tc>
          <w:tcPr>
            <w:tcW w:w="1282" w:type="dxa"/>
            <w:tcBorders>
              <w:top w:val="nil"/>
              <w:left w:val="nil"/>
              <w:bottom w:val="single" w:color="auto" w:sz="4" w:space="0"/>
              <w:right w:val="single" w:color="auto" w:sz="4" w:space="0"/>
            </w:tcBorders>
            <w:shd w:val="clear" w:color="auto" w:fill="auto"/>
            <w:noWrap/>
            <w:vAlign w:val="center"/>
          </w:tcPr>
          <w:p>
            <w:pPr>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0.00</w:t>
            </w:r>
          </w:p>
        </w:tc>
        <w:tc>
          <w:tcPr>
            <w:tcW w:w="4189" w:type="dxa"/>
            <w:gridSpan w:val="2"/>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i w:val="0"/>
                <w:iCs w:val="0"/>
                <w:color w:val="000000"/>
                <w:kern w:val="0"/>
                <w:sz w:val="20"/>
                <w:szCs w:val="20"/>
                <w:u w:val="none"/>
                <w:lang w:val="en-US" w:eastAsia="zh-CN" w:bidi="ar"/>
              </w:rPr>
            </w:pPr>
          </w:p>
        </w:tc>
        <w:tc>
          <w:tcPr>
            <w:tcW w:w="649"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63</w:t>
            </w:r>
          </w:p>
        </w:tc>
        <w:tc>
          <w:tcPr>
            <w:tcW w:w="155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p>
        </w:tc>
        <w:tc>
          <w:tcPr>
            <w:tcW w:w="1375"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kern w:val="0"/>
                <w:sz w:val="22"/>
              </w:rPr>
            </w:pP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p>
        </w:tc>
      </w:tr>
      <w:tr>
        <w:tblPrEx>
          <w:tblCellMar>
            <w:top w:w="0" w:type="dxa"/>
            <w:left w:w="108" w:type="dxa"/>
            <w:bottom w:w="0" w:type="dxa"/>
            <w:right w:w="108" w:type="dxa"/>
          </w:tblCellMar>
        </w:tblPrEx>
        <w:trPr>
          <w:trHeight w:val="347" w:hRule="atLeast"/>
        </w:trPr>
        <w:tc>
          <w:tcPr>
            <w:tcW w:w="2853"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both"/>
              <w:textAlignment w:val="center"/>
              <w:rPr>
                <w:rFonts w:ascii="宋体" w:hAnsi="宋体" w:eastAsia="宋体" w:cs="宋体"/>
                <w:b/>
                <w:bCs/>
                <w:kern w:val="0"/>
                <w:sz w:val="22"/>
              </w:rPr>
            </w:pPr>
            <w:r>
              <w:rPr>
                <w:rFonts w:hint="eastAsia" w:ascii="宋体" w:hAnsi="宋体" w:eastAsia="宋体" w:cs="宋体"/>
                <w:b/>
                <w:bCs/>
                <w:i w:val="0"/>
                <w:iCs w:val="0"/>
                <w:color w:val="000000"/>
                <w:kern w:val="0"/>
                <w:sz w:val="20"/>
                <w:szCs w:val="20"/>
                <w:u w:val="none"/>
                <w:lang w:val="en-US" w:eastAsia="zh-CN" w:bidi="ar"/>
              </w:rPr>
              <w:t>总计</w:t>
            </w:r>
          </w:p>
        </w:tc>
        <w:tc>
          <w:tcPr>
            <w:tcW w:w="69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32</w:t>
            </w:r>
          </w:p>
        </w:tc>
        <w:tc>
          <w:tcPr>
            <w:tcW w:w="128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kern w:val="0"/>
                <w:sz w:val="22"/>
              </w:rPr>
            </w:pPr>
            <w:r>
              <w:rPr>
                <w:rFonts w:hint="eastAsia" w:ascii="宋体" w:hAnsi="宋体" w:eastAsia="宋体" w:cs="宋体"/>
                <w:b/>
                <w:bCs/>
                <w:i w:val="0"/>
                <w:iCs w:val="0"/>
                <w:color w:val="000000"/>
                <w:kern w:val="0"/>
                <w:sz w:val="20"/>
                <w:szCs w:val="20"/>
                <w:u w:val="none"/>
                <w:lang w:val="en-US" w:eastAsia="zh-CN" w:bidi="ar"/>
              </w:rPr>
              <w:t>4,745.61</w:t>
            </w:r>
          </w:p>
        </w:tc>
        <w:tc>
          <w:tcPr>
            <w:tcW w:w="4189"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both"/>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总计</w:t>
            </w:r>
          </w:p>
        </w:tc>
        <w:tc>
          <w:tcPr>
            <w:tcW w:w="649"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64</w:t>
            </w:r>
          </w:p>
        </w:tc>
        <w:tc>
          <w:tcPr>
            <w:tcW w:w="155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right"/>
              <w:textAlignment w:val="center"/>
              <w:rPr>
                <w:rFonts w:ascii="宋体" w:hAnsi="宋体" w:eastAsia="宋体" w:cs="宋体"/>
                <w:b/>
                <w:bCs/>
                <w:kern w:val="0"/>
                <w:sz w:val="22"/>
              </w:rPr>
            </w:pPr>
            <w:r>
              <w:rPr>
                <w:rFonts w:hint="eastAsia" w:ascii="宋体" w:hAnsi="宋体" w:eastAsia="宋体" w:cs="宋体"/>
                <w:b/>
                <w:bCs/>
                <w:i w:val="0"/>
                <w:iCs w:val="0"/>
                <w:color w:val="000000"/>
                <w:kern w:val="0"/>
                <w:sz w:val="20"/>
                <w:szCs w:val="20"/>
                <w:u w:val="none"/>
                <w:lang w:val="en-US" w:eastAsia="zh-CN" w:bidi="ar"/>
              </w:rPr>
              <w:t>4,745.61</w:t>
            </w:r>
          </w:p>
        </w:tc>
        <w:tc>
          <w:tcPr>
            <w:tcW w:w="137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right"/>
              <w:textAlignment w:val="center"/>
              <w:rPr>
                <w:rFonts w:ascii="宋体" w:hAnsi="宋体" w:eastAsia="宋体" w:cs="宋体"/>
                <w:b/>
                <w:bCs/>
                <w:kern w:val="0"/>
                <w:sz w:val="22"/>
              </w:rPr>
            </w:pPr>
            <w:r>
              <w:rPr>
                <w:rFonts w:hint="eastAsia" w:ascii="宋体" w:hAnsi="宋体" w:eastAsia="宋体" w:cs="宋体"/>
                <w:b/>
                <w:bCs/>
                <w:i w:val="0"/>
                <w:iCs w:val="0"/>
                <w:color w:val="000000"/>
                <w:kern w:val="0"/>
                <w:sz w:val="20"/>
                <w:szCs w:val="20"/>
                <w:u w:val="none"/>
                <w:lang w:val="en-US" w:eastAsia="zh-CN" w:bidi="ar"/>
              </w:rPr>
              <w:t>4,745.61</w:t>
            </w:r>
          </w:p>
        </w:tc>
        <w:tc>
          <w:tcPr>
            <w:tcW w:w="14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b/>
                <w:bCs/>
                <w:kern w:val="0"/>
                <w:sz w:val="22"/>
                <w:lang w:val="en-US" w:eastAsia="zh-CN"/>
              </w:rPr>
              <w:t>0.00</w:t>
            </w:r>
          </w:p>
        </w:tc>
        <w:tc>
          <w:tcPr>
            <w:tcW w:w="144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b/>
                <w:bCs/>
                <w:kern w:val="0"/>
                <w:sz w:val="22"/>
              </w:rPr>
            </w:pPr>
            <w:r>
              <w:rPr>
                <w:rFonts w:hint="eastAsia" w:ascii="宋体" w:hAnsi="宋体" w:eastAsia="宋体" w:cs="宋体"/>
                <w:b/>
                <w:bCs/>
                <w:kern w:val="0"/>
                <w:sz w:val="22"/>
                <w:lang w:val="en-US" w:eastAsia="zh-CN"/>
              </w:rPr>
              <w:t>0.00</w:t>
            </w:r>
          </w:p>
        </w:tc>
      </w:tr>
      <w:tr>
        <w:tblPrEx>
          <w:tblCellMar>
            <w:top w:w="0" w:type="dxa"/>
            <w:left w:w="108" w:type="dxa"/>
            <w:bottom w:w="0" w:type="dxa"/>
            <w:right w:w="108" w:type="dxa"/>
          </w:tblCellMar>
        </w:tblPrEx>
        <w:trPr>
          <w:trHeight w:val="585" w:hRule="atLeast"/>
        </w:trPr>
        <w:tc>
          <w:tcPr>
            <w:tcW w:w="15521" w:type="dxa"/>
            <w:gridSpan w:val="10"/>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hint="eastAsia" w:ascii="华文中宋" w:hAnsi="华文中宋" w:eastAsia="华文中宋" w:cs="宋体"/>
          <w:color w:val="000000"/>
          <w:kern w:val="0"/>
          <w:sz w:val="32"/>
          <w:szCs w:val="32"/>
        </w:rPr>
      </w:pPr>
    </w:p>
    <w:p>
      <w:pPr>
        <w:widowControl/>
        <w:jc w:val="center"/>
        <w:rPr>
          <w:rFonts w:hint="eastAsia"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一般公共预算财政拨款支出决算表</w:t>
      </w:r>
      <w:bookmarkEnd w:id="1"/>
    </w:p>
    <w:tbl>
      <w:tblPr>
        <w:tblStyle w:val="6"/>
        <w:tblW w:w="14219" w:type="dxa"/>
        <w:jc w:val="center"/>
        <w:tblLayout w:type="fixed"/>
        <w:tblCellMar>
          <w:top w:w="0" w:type="dxa"/>
          <w:left w:w="108" w:type="dxa"/>
          <w:bottom w:w="0" w:type="dxa"/>
          <w:right w:w="108" w:type="dxa"/>
        </w:tblCellMar>
      </w:tblPr>
      <w:tblGrid>
        <w:gridCol w:w="14219"/>
      </w:tblGrid>
      <w:tr>
        <w:tblPrEx>
          <w:tblCellMar>
            <w:top w:w="0" w:type="dxa"/>
            <w:left w:w="108" w:type="dxa"/>
            <w:bottom w:w="0" w:type="dxa"/>
            <w:right w:w="108" w:type="dxa"/>
          </w:tblCellMar>
        </w:tblPrEx>
        <w:trPr>
          <w:trHeight w:val="645" w:hRule="atLeast"/>
          <w:jc w:val="center"/>
        </w:trPr>
        <w:tc>
          <w:tcPr>
            <w:tcW w:w="14219" w:type="dxa"/>
            <w:tcBorders>
              <w:top w:val="nil"/>
              <w:left w:val="nil"/>
              <w:bottom w:val="nil"/>
              <w:right w:val="nil"/>
            </w:tcBorders>
            <w:shd w:val="clear" w:color="auto" w:fill="auto"/>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 xml:space="preserve">                                                                              </w:t>
            </w:r>
            <w:r>
              <w:rPr>
                <w:rFonts w:hint="eastAsia" w:asciiTheme="minorEastAsia" w:hAnsiTheme="minorEastAsia" w:eastAsiaTheme="minorEastAsia" w:cstheme="minorEastAsia"/>
                <w:color w:val="000000"/>
                <w:kern w:val="0"/>
                <w:sz w:val="20"/>
                <w:szCs w:val="20"/>
                <w:lang w:eastAsia="zh-CN"/>
              </w:rPr>
              <w:t>公开</w:t>
            </w:r>
            <w:r>
              <w:rPr>
                <w:rFonts w:hint="eastAsia" w:asciiTheme="minorEastAsia" w:hAnsiTheme="minorEastAsia" w:eastAsiaTheme="minorEastAsia" w:cstheme="minorEastAsia"/>
                <w:color w:val="000000"/>
                <w:kern w:val="0"/>
                <w:sz w:val="20"/>
                <w:szCs w:val="20"/>
                <w:lang w:val="en-US" w:eastAsia="zh-CN"/>
              </w:rPr>
              <w:t>05表</w:t>
            </w:r>
          </w:p>
          <w:tbl>
            <w:tblPr>
              <w:tblStyle w:val="6"/>
              <w:tblW w:w="12214" w:type="dxa"/>
              <w:tblInd w:w="-1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10"/>
              <w:gridCol w:w="3938"/>
              <w:gridCol w:w="2116"/>
              <w:gridCol w:w="7"/>
              <w:gridCol w:w="123"/>
              <w:gridCol w:w="2161"/>
              <w:gridCol w:w="2223"/>
              <w:gridCol w:w="2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348" w:type="dxa"/>
                  <w:gridSpan w:val="2"/>
                  <w:tcBorders>
                    <w:top w:val="nil"/>
                    <w:left w:val="nil"/>
                    <w:bottom w:val="single" w:color="auto" w:sz="4" w:space="0"/>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部门：湖南省环境保护科学研究院</w:t>
                  </w:r>
                </w:p>
              </w:tc>
              <w:tc>
                <w:tcPr>
                  <w:tcW w:w="2246" w:type="dxa"/>
                  <w:gridSpan w:val="3"/>
                  <w:tcBorders>
                    <w:top w:val="nil"/>
                    <w:left w:val="nil"/>
                    <w:bottom w:val="single" w:color="auto" w:sz="4" w:space="0"/>
                    <w:right w:val="nil"/>
                  </w:tcBorders>
                  <w:shd w:val="clear" w:color="auto" w:fill="auto"/>
                  <w:noWrap/>
                  <w:vAlign w:val="center"/>
                </w:tcPr>
                <w:p>
                  <w:pPr>
                    <w:jc w:val="lef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2021年度</w:t>
                  </w:r>
                </w:p>
              </w:tc>
              <w:tc>
                <w:tcPr>
                  <w:tcW w:w="4384" w:type="dxa"/>
                  <w:gridSpan w:val="2"/>
                  <w:tcBorders>
                    <w:top w:val="nil"/>
                    <w:left w:val="nil"/>
                    <w:bottom w:val="single" w:color="auto" w:sz="4" w:space="0"/>
                    <w:right w:val="nil"/>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金额单位：万元</w:t>
                  </w:r>
                </w:p>
              </w:tc>
              <w:tc>
                <w:tcPr>
                  <w:tcW w:w="236"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43" w:hRule="atLeast"/>
              </w:trPr>
              <w:tc>
                <w:tcPr>
                  <w:tcW w:w="53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项目</w:t>
                  </w:r>
                </w:p>
              </w:tc>
              <w:tc>
                <w:tcPr>
                  <w:tcW w:w="663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功能分类科目编码</w:t>
                  </w:r>
                </w:p>
              </w:tc>
              <w:tc>
                <w:tcPr>
                  <w:tcW w:w="3938" w:type="dxa"/>
                  <w:vMerge w:val="restart"/>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科目名称</w:t>
                  </w:r>
                </w:p>
              </w:tc>
              <w:tc>
                <w:tcPr>
                  <w:tcW w:w="2116"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小计</w:t>
                  </w:r>
                </w:p>
              </w:tc>
              <w:tc>
                <w:tcPr>
                  <w:tcW w:w="2291" w:type="dxa"/>
                  <w:gridSpan w:val="3"/>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基本支出</w:t>
                  </w:r>
                </w:p>
              </w:tc>
              <w:tc>
                <w:tcPr>
                  <w:tcW w:w="2223"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70" w:hRule="atLeast"/>
              </w:trPr>
              <w:tc>
                <w:tcPr>
                  <w:tcW w:w="141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3938" w:type="dxa"/>
                  <w:vMerge w:val="continue"/>
                  <w:tcBorders>
                    <w:top w:val="single" w:color="auto" w:sz="4" w:space="0"/>
                    <w:left w:val="nil"/>
                    <w:bottom w:val="single" w:color="auto"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2116"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2291" w:type="dxa"/>
                  <w:gridSpan w:val="3"/>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2223"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12" w:hRule="atLeast"/>
              </w:trPr>
              <w:tc>
                <w:tcPr>
                  <w:tcW w:w="141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3938" w:type="dxa"/>
                  <w:vMerge w:val="continue"/>
                  <w:tcBorders>
                    <w:top w:val="single" w:color="auto" w:sz="4" w:space="0"/>
                    <w:left w:val="nil"/>
                    <w:bottom w:val="single" w:color="auto"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2116"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2291" w:type="dxa"/>
                  <w:gridSpan w:val="3"/>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2223"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5348"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栏次</w:t>
                  </w:r>
                </w:p>
              </w:tc>
              <w:tc>
                <w:tcPr>
                  <w:tcW w:w="2116"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2291" w:type="dxa"/>
                  <w:gridSpan w:val="3"/>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2223"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5348"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合计</w:t>
                  </w:r>
                </w:p>
              </w:tc>
              <w:tc>
                <w:tcPr>
                  <w:tcW w:w="21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3,598.30</w:t>
                  </w:r>
                </w:p>
              </w:tc>
              <w:tc>
                <w:tcPr>
                  <w:tcW w:w="2291"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1,420.02</w:t>
                  </w:r>
                </w:p>
              </w:tc>
              <w:tc>
                <w:tcPr>
                  <w:tcW w:w="22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2,178.28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206</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科学技术支出</w:t>
                  </w:r>
                </w:p>
              </w:tc>
              <w:tc>
                <w:tcPr>
                  <w:tcW w:w="21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1,152.86</w:t>
                  </w:r>
                </w:p>
              </w:tc>
              <w:tc>
                <w:tcPr>
                  <w:tcW w:w="2291"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850.52</w:t>
                  </w:r>
                </w:p>
              </w:tc>
              <w:tc>
                <w:tcPr>
                  <w:tcW w:w="22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302.34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20602</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基础研究</w:t>
                  </w:r>
                </w:p>
              </w:tc>
              <w:tc>
                <w:tcPr>
                  <w:tcW w:w="2123"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4.41</w:t>
                  </w:r>
                </w:p>
              </w:tc>
              <w:tc>
                <w:tcPr>
                  <w:tcW w:w="2284" w:type="dxa"/>
                  <w:gridSpan w:val="2"/>
                  <w:tcBorders>
                    <w:top w:val="nil"/>
                    <w:left w:val="nil"/>
                    <w:bottom w:val="single" w:color="000000" w:sz="4" w:space="0"/>
                    <w:right w:val="single" w:color="000000" w:sz="4" w:space="0"/>
                  </w:tcBorders>
                  <w:shd w:val="clear" w:color="auto" w:fill="auto"/>
                  <w:noWrap/>
                  <w:vAlign w:val="center"/>
                </w:tcPr>
                <w:p>
                  <w:pPr>
                    <w:jc w:val="right"/>
                    <w:rPr>
                      <w:rFonts w:hint="default" w:asciiTheme="minorEastAsia" w:hAnsiTheme="minorEastAsia" w:eastAsiaTheme="minorEastAsia" w:cstheme="minorEastAsia"/>
                      <w:b/>
                      <w:bCs/>
                      <w:i w:val="0"/>
                      <w:iCs w:val="0"/>
                      <w:color w:val="000000"/>
                      <w:sz w:val="20"/>
                      <w:szCs w:val="20"/>
                      <w:u w:val="none"/>
                      <w:lang w:val="en-US" w:eastAsia="zh-CN"/>
                    </w:rPr>
                  </w:pPr>
                  <w:r>
                    <w:rPr>
                      <w:rFonts w:hint="eastAsia" w:asciiTheme="minorEastAsia" w:hAnsiTheme="minorEastAsia" w:cstheme="minorEastAsia"/>
                      <w:b/>
                      <w:bCs/>
                      <w:i w:val="0"/>
                      <w:iCs w:val="0"/>
                      <w:color w:val="000000"/>
                      <w:sz w:val="20"/>
                      <w:szCs w:val="20"/>
                      <w:u w:val="none"/>
                      <w:lang w:val="en-US" w:eastAsia="zh-CN"/>
                    </w:rPr>
                    <w:t>0.00</w:t>
                  </w:r>
                </w:p>
              </w:tc>
              <w:tc>
                <w:tcPr>
                  <w:tcW w:w="22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4.41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2060203</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自然科学基金</w:t>
                  </w:r>
                </w:p>
              </w:tc>
              <w:tc>
                <w:tcPr>
                  <w:tcW w:w="2123"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4.41</w:t>
                  </w:r>
                </w:p>
              </w:tc>
              <w:tc>
                <w:tcPr>
                  <w:tcW w:w="2284" w:type="dxa"/>
                  <w:gridSpan w:val="2"/>
                  <w:tcBorders>
                    <w:top w:val="nil"/>
                    <w:left w:val="nil"/>
                    <w:bottom w:val="single" w:color="000000" w:sz="4" w:space="0"/>
                    <w:right w:val="single" w:color="000000" w:sz="4" w:space="0"/>
                  </w:tcBorders>
                  <w:shd w:val="clear" w:color="auto" w:fill="auto"/>
                  <w:noWrap/>
                  <w:vAlign w:val="center"/>
                </w:tcPr>
                <w:p>
                  <w:pPr>
                    <w:jc w:val="right"/>
                    <w:rPr>
                      <w:rFonts w:hint="default" w:asciiTheme="minorEastAsia" w:hAnsiTheme="minorEastAsia" w:eastAsiaTheme="minorEastAsia" w:cstheme="minorEastAsia"/>
                      <w:b w:val="0"/>
                      <w:bCs w:val="0"/>
                      <w:i w:val="0"/>
                      <w:iCs w:val="0"/>
                      <w:color w:val="000000"/>
                      <w:sz w:val="20"/>
                      <w:szCs w:val="20"/>
                      <w:u w:val="none"/>
                      <w:lang w:val="en-US" w:eastAsia="zh-CN"/>
                    </w:rPr>
                  </w:pPr>
                  <w:r>
                    <w:rPr>
                      <w:rFonts w:hint="eastAsia" w:asciiTheme="minorEastAsia" w:hAnsiTheme="minorEastAsia" w:cstheme="minorEastAsia"/>
                      <w:b w:val="0"/>
                      <w:bCs w:val="0"/>
                      <w:i w:val="0"/>
                      <w:iCs w:val="0"/>
                      <w:color w:val="000000"/>
                      <w:sz w:val="20"/>
                      <w:szCs w:val="20"/>
                      <w:u w:val="none"/>
                      <w:lang w:val="en-US" w:eastAsia="zh-CN"/>
                    </w:rPr>
                    <w:t>0.00</w:t>
                  </w:r>
                </w:p>
              </w:tc>
              <w:tc>
                <w:tcPr>
                  <w:tcW w:w="22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4.41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20603</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应用研究</w:t>
                  </w:r>
                </w:p>
              </w:tc>
              <w:tc>
                <w:tcPr>
                  <w:tcW w:w="2123"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940.40</w:t>
                  </w:r>
                </w:p>
              </w:tc>
              <w:tc>
                <w:tcPr>
                  <w:tcW w:w="228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850.52</w:t>
                  </w:r>
                </w:p>
              </w:tc>
              <w:tc>
                <w:tcPr>
                  <w:tcW w:w="22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89.88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2060301</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机构运行</w:t>
                  </w:r>
                </w:p>
              </w:tc>
              <w:tc>
                <w:tcPr>
                  <w:tcW w:w="21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850.52</w:t>
                  </w:r>
                </w:p>
              </w:tc>
              <w:tc>
                <w:tcPr>
                  <w:tcW w:w="2291"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850.52</w:t>
                  </w:r>
                </w:p>
              </w:tc>
              <w:tc>
                <w:tcPr>
                  <w:tcW w:w="2223" w:type="dxa"/>
                  <w:tcBorders>
                    <w:top w:val="nil"/>
                    <w:left w:val="nil"/>
                    <w:bottom w:val="single" w:color="000000" w:sz="4" w:space="0"/>
                    <w:right w:val="single" w:color="000000" w:sz="4" w:space="0"/>
                  </w:tcBorders>
                  <w:shd w:val="clear" w:color="auto" w:fill="auto"/>
                  <w:noWrap/>
                  <w:vAlign w:val="center"/>
                </w:tcPr>
                <w:p>
                  <w:pPr>
                    <w:jc w:val="right"/>
                    <w:rPr>
                      <w:rFonts w:hint="default" w:asciiTheme="minorEastAsia" w:hAnsiTheme="minorEastAsia" w:eastAsiaTheme="minorEastAsia" w:cstheme="minorEastAsia"/>
                      <w:b w:val="0"/>
                      <w:bCs w:val="0"/>
                      <w:i w:val="0"/>
                      <w:iCs w:val="0"/>
                      <w:color w:val="000000"/>
                      <w:sz w:val="20"/>
                      <w:szCs w:val="20"/>
                      <w:u w:val="none"/>
                      <w:lang w:val="en-US" w:eastAsia="zh-CN"/>
                    </w:rPr>
                  </w:pPr>
                  <w:r>
                    <w:rPr>
                      <w:rFonts w:hint="eastAsia" w:asciiTheme="minorEastAsia" w:hAnsiTheme="minorEastAsia" w:cstheme="minorEastAsia"/>
                      <w:b w:val="0"/>
                      <w:bCs w:val="0"/>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2060302</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社会公益研究</w:t>
                  </w:r>
                </w:p>
              </w:tc>
              <w:tc>
                <w:tcPr>
                  <w:tcW w:w="21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8.75</w:t>
                  </w:r>
                </w:p>
              </w:tc>
              <w:tc>
                <w:tcPr>
                  <w:tcW w:w="2291" w:type="dxa"/>
                  <w:gridSpan w:val="3"/>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22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8.75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2060303</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高技术研究</w:t>
                  </w:r>
                </w:p>
              </w:tc>
              <w:tc>
                <w:tcPr>
                  <w:tcW w:w="21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81.13</w:t>
                  </w:r>
                </w:p>
              </w:tc>
              <w:tc>
                <w:tcPr>
                  <w:tcW w:w="2291" w:type="dxa"/>
                  <w:gridSpan w:val="3"/>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22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81.13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20605</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科技条件与服务</w:t>
                  </w:r>
                </w:p>
              </w:tc>
              <w:tc>
                <w:tcPr>
                  <w:tcW w:w="2116"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2291" w:type="dxa"/>
                  <w:gridSpan w:val="3"/>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2223"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2060599</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其他科技条件与服务支出</w:t>
                  </w:r>
                </w:p>
              </w:tc>
              <w:tc>
                <w:tcPr>
                  <w:tcW w:w="2116"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2291" w:type="dxa"/>
                  <w:gridSpan w:val="3"/>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2223"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20609</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科技重大项目</w:t>
                  </w:r>
                </w:p>
              </w:tc>
              <w:tc>
                <w:tcPr>
                  <w:tcW w:w="21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208.05</w:t>
                  </w:r>
                </w:p>
              </w:tc>
              <w:tc>
                <w:tcPr>
                  <w:tcW w:w="2291" w:type="dxa"/>
                  <w:gridSpan w:val="3"/>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22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208.05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2060902</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重点研发计划</w:t>
                  </w:r>
                </w:p>
              </w:tc>
              <w:tc>
                <w:tcPr>
                  <w:tcW w:w="21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208.05</w:t>
                  </w:r>
                </w:p>
              </w:tc>
              <w:tc>
                <w:tcPr>
                  <w:tcW w:w="2291" w:type="dxa"/>
                  <w:gridSpan w:val="3"/>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22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208.05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208</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社会保障和就业支出</w:t>
                  </w:r>
                </w:p>
              </w:tc>
              <w:tc>
                <w:tcPr>
                  <w:tcW w:w="21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420.76</w:t>
                  </w:r>
                </w:p>
              </w:tc>
              <w:tc>
                <w:tcPr>
                  <w:tcW w:w="2291"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420.76</w:t>
                  </w:r>
                </w:p>
              </w:tc>
              <w:tc>
                <w:tcPr>
                  <w:tcW w:w="2223"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20805</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行政事业单位养老支出</w:t>
                  </w:r>
                </w:p>
              </w:tc>
              <w:tc>
                <w:tcPr>
                  <w:tcW w:w="21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420.76</w:t>
                  </w:r>
                </w:p>
              </w:tc>
              <w:tc>
                <w:tcPr>
                  <w:tcW w:w="2291"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420.76</w:t>
                  </w:r>
                </w:p>
              </w:tc>
              <w:tc>
                <w:tcPr>
                  <w:tcW w:w="2223"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2080502</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事业单位离退休</w:t>
                  </w:r>
                </w:p>
              </w:tc>
              <w:tc>
                <w:tcPr>
                  <w:tcW w:w="21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0.76</w:t>
                  </w:r>
                </w:p>
              </w:tc>
              <w:tc>
                <w:tcPr>
                  <w:tcW w:w="2291"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0.76</w:t>
                  </w:r>
                </w:p>
              </w:tc>
              <w:tc>
                <w:tcPr>
                  <w:tcW w:w="2223"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2080505</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机关事业单位基本养老保险缴费支出</w:t>
                  </w:r>
                </w:p>
              </w:tc>
              <w:tc>
                <w:tcPr>
                  <w:tcW w:w="21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280.00</w:t>
                  </w:r>
                </w:p>
              </w:tc>
              <w:tc>
                <w:tcPr>
                  <w:tcW w:w="2291"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280.00</w:t>
                  </w:r>
                </w:p>
              </w:tc>
              <w:tc>
                <w:tcPr>
                  <w:tcW w:w="2223"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2080506</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机关事业单位职业年金缴费支出</w:t>
                  </w:r>
                </w:p>
              </w:tc>
              <w:tc>
                <w:tcPr>
                  <w:tcW w:w="21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140.00</w:t>
                  </w:r>
                </w:p>
              </w:tc>
              <w:tc>
                <w:tcPr>
                  <w:tcW w:w="2291"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140.00</w:t>
                  </w:r>
                </w:p>
              </w:tc>
              <w:tc>
                <w:tcPr>
                  <w:tcW w:w="2223"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211</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节能环保支出</w:t>
                  </w:r>
                </w:p>
              </w:tc>
              <w:tc>
                <w:tcPr>
                  <w:tcW w:w="21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1,875.94</w:t>
                  </w:r>
                </w:p>
              </w:tc>
              <w:tc>
                <w:tcPr>
                  <w:tcW w:w="2291" w:type="dxa"/>
                  <w:gridSpan w:val="3"/>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22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1,875.94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21101</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环境保护管理事务</w:t>
                  </w:r>
                </w:p>
              </w:tc>
              <w:tc>
                <w:tcPr>
                  <w:tcW w:w="21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531.98</w:t>
                  </w:r>
                </w:p>
              </w:tc>
              <w:tc>
                <w:tcPr>
                  <w:tcW w:w="2291" w:type="dxa"/>
                  <w:gridSpan w:val="3"/>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22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531.98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2110199</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其他环境保护管理事务支出</w:t>
                  </w:r>
                </w:p>
              </w:tc>
              <w:tc>
                <w:tcPr>
                  <w:tcW w:w="21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531.98</w:t>
                  </w:r>
                </w:p>
              </w:tc>
              <w:tc>
                <w:tcPr>
                  <w:tcW w:w="2291" w:type="dxa"/>
                  <w:gridSpan w:val="3"/>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22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531.98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21102</w:t>
                  </w:r>
                </w:p>
              </w:tc>
              <w:tc>
                <w:tcPr>
                  <w:tcW w:w="3938" w:type="dxa"/>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环境监测与监察</w:t>
                  </w:r>
                </w:p>
              </w:tc>
              <w:tc>
                <w:tcPr>
                  <w:tcW w:w="2116" w:type="dxa"/>
                  <w:tcBorders>
                    <w:top w:val="nil"/>
                    <w:left w:val="nil"/>
                    <w:bottom w:val="single" w:color="auto"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2291" w:type="dxa"/>
                  <w:gridSpan w:val="3"/>
                  <w:tcBorders>
                    <w:top w:val="nil"/>
                    <w:left w:val="nil"/>
                    <w:bottom w:val="single" w:color="auto"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2223" w:type="dxa"/>
                  <w:tcBorders>
                    <w:top w:val="nil"/>
                    <w:left w:val="nil"/>
                    <w:bottom w:val="single" w:color="auto"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2110299</w:t>
                  </w:r>
                </w:p>
              </w:tc>
              <w:tc>
                <w:tcPr>
                  <w:tcW w:w="39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其他环境监测与监察支出</w:t>
                  </w:r>
                </w:p>
              </w:tc>
              <w:tc>
                <w:tcPr>
                  <w:tcW w:w="21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229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222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21103</w:t>
                  </w:r>
                </w:p>
              </w:tc>
              <w:tc>
                <w:tcPr>
                  <w:tcW w:w="39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污染防治</w:t>
                  </w:r>
                </w:p>
              </w:tc>
              <w:tc>
                <w:tcPr>
                  <w:tcW w:w="211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1,237.34</w:t>
                  </w:r>
                </w:p>
              </w:tc>
              <w:tc>
                <w:tcPr>
                  <w:tcW w:w="229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222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1,237.34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2110301</w:t>
                  </w:r>
                </w:p>
              </w:tc>
              <w:tc>
                <w:tcPr>
                  <w:tcW w:w="39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大气</w:t>
                  </w:r>
                </w:p>
              </w:tc>
              <w:tc>
                <w:tcPr>
                  <w:tcW w:w="211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216.26</w:t>
                  </w:r>
                </w:p>
              </w:tc>
              <w:tc>
                <w:tcPr>
                  <w:tcW w:w="229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222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216.26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2110302</w:t>
                  </w:r>
                </w:p>
              </w:tc>
              <w:tc>
                <w:tcPr>
                  <w:tcW w:w="39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水体</w:t>
                  </w:r>
                </w:p>
              </w:tc>
              <w:tc>
                <w:tcPr>
                  <w:tcW w:w="211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89.39</w:t>
                  </w:r>
                </w:p>
              </w:tc>
              <w:tc>
                <w:tcPr>
                  <w:tcW w:w="229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222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89.39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2110307</w:t>
                  </w:r>
                </w:p>
              </w:tc>
              <w:tc>
                <w:tcPr>
                  <w:tcW w:w="3938"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土壤</w:t>
                  </w:r>
                </w:p>
              </w:tc>
              <w:tc>
                <w:tcPr>
                  <w:tcW w:w="2116"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590.28</w:t>
                  </w:r>
                </w:p>
              </w:tc>
              <w:tc>
                <w:tcPr>
                  <w:tcW w:w="2291" w:type="dxa"/>
                  <w:gridSpan w:val="3"/>
                  <w:tcBorders>
                    <w:top w:val="single" w:color="auto" w:sz="4" w:space="0"/>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2223"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590.28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2110399</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其他污染防治支出</w:t>
                  </w:r>
                </w:p>
              </w:tc>
              <w:tc>
                <w:tcPr>
                  <w:tcW w:w="21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341.41</w:t>
                  </w:r>
                </w:p>
              </w:tc>
              <w:tc>
                <w:tcPr>
                  <w:tcW w:w="2291" w:type="dxa"/>
                  <w:gridSpan w:val="3"/>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22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341.41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21104</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自然生态保护</w:t>
                  </w:r>
                </w:p>
              </w:tc>
              <w:tc>
                <w:tcPr>
                  <w:tcW w:w="21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106.62</w:t>
                  </w:r>
                </w:p>
              </w:tc>
              <w:tc>
                <w:tcPr>
                  <w:tcW w:w="2291" w:type="dxa"/>
                  <w:gridSpan w:val="3"/>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c>
                <w:tcPr>
                  <w:tcW w:w="22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106.62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2110402</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农村环境保护</w:t>
                  </w:r>
                </w:p>
              </w:tc>
              <w:tc>
                <w:tcPr>
                  <w:tcW w:w="21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106.62</w:t>
                  </w:r>
                </w:p>
              </w:tc>
              <w:tc>
                <w:tcPr>
                  <w:tcW w:w="2291" w:type="dxa"/>
                  <w:gridSpan w:val="3"/>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22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106.62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2110499</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其他自然生态保护支出</w:t>
                  </w:r>
                </w:p>
              </w:tc>
              <w:tc>
                <w:tcPr>
                  <w:tcW w:w="2116"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2291" w:type="dxa"/>
                  <w:gridSpan w:val="3"/>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c>
                <w:tcPr>
                  <w:tcW w:w="2223"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221</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住房保障支出</w:t>
                  </w:r>
                </w:p>
              </w:tc>
              <w:tc>
                <w:tcPr>
                  <w:tcW w:w="21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148.74</w:t>
                  </w:r>
                </w:p>
              </w:tc>
              <w:tc>
                <w:tcPr>
                  <w:tcW w:w="2291"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148.74</w:t>
                  </w:r>
                </w:p>
              </w:tc>
              <w:tc>
                <w:tcPr>
                  <w:tcW w:w="2223"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22102</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住房改革支出</w:t>
                  </w:r>
                </w:p>
              </w:tc>
              <w:tc>
                <w:tcPr>
                  <w:tcW w:w="21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148.74</w:t>
                  </w:r>
                </w:p>
              </w:tc>
              <w:tc>
                <w:tcPr>
                  <w:tcW w:w="2291"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148.74</w:t>
                  </w:r>
                </w:p>
              </w:tc>
              <w:tc>
                <w:tcPr>
                  <w:tcW w:w="2223"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cstheme="minorEastAsia"/>
                      <w:b/>
                      <w:bCs/>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2210201</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住房公积金</w:t>
                  </w:r>
                </w:p>
              </w:tc>
              <w:tc>
                <w:tcPr>
                  <w:tcW w:w="21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108.74</w:t>
                  </w:r>
                </w:p>
              </w:tc>
              <w:tc>
                <w:tcPr>
                  <w:tcW w:w="2291"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108.74</w:t>
                  </w:r>
                </w:p>
              </w:tc>
              <w:tc>
                <w:tcPr>
                  <w:tcW w:w="2223"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00" w:hRule="atLeast"/>
              </w:trPr>
              <w:tc>
                <w:tcPr>
                  <w:tcW w:w="141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2210203</w:t>
                  </w:r>
                </w:p>
              </w:tc>
              <w:tc>
                <w:tcPr>
                  <w:tcW w:w="39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购房补贴</w:t>
                  </w:r>
                </w:p>
              </w:tc>
              <w:tc>
                <w:tcPr>
                  <w:tcW w:w="21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40.00</w:t>
                  </w:r>
                </w:p>
              </w:tc>
              <w:tc>
                <w:tcPr>
                  <w:tcW w:w="2291"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40.00</w:t>
                  </w:r>
                </w:p>
              </w:tc>
              <w:tc>
                <w:tcPr>
                  <w:tcW w:w="2223"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cstheme="minorEastAsia"/>
                      <w:b w:val="0"/>
                      <w:bCs w:val="0"/>
                      <w:i w:val="0"/>
                      <w:iCs w:val="0"/>
                      <w:color w:val="000000"/>
                      <w:sz w:val="20"/>
                      <w:szCs w:val="20"/>
                      <w:u w:val="none"/>
                      <w:lang w:val="en-US" w:eastAsia="zh-CN"/>
                    </w:rPr>
                    <w:t>0.00</w:t>
                  </w:r>
                </w:p>
              </w:tc>
            </w:tr>
          </w:tbl>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6"/>
        <w:tblW w:w="0" w:type="auto"/>
        <w:tblInd w:w="0" w:type="dxa"/>
        <w:tblLayout w:type="fixed"/>
        <w:tblCellMar>
          <w:top w:w="0" w:type="dxa"/>
          <w:left w:w="108" w:type="dxa"/>
          <w:bottom w:w="0" w:type="dxa"/>
          <w:right w:w="108" w:type="dxa"/>
        </w:tblCellMar>
      </w:tblPr>
      <w:tblGrid>
        <w:gridCol w:w="15614"/>
      </w:tblGrid>
      <w:tr>
        <w:tblPrEx>
          <w:tblCellMar>
            <w:top w:w="0" w:type="dxa"/>
            <w:left w:w="108" w:type="dxa"/>
            <w:bottom w:w="0" w:type="dxa"/>
            <w:right w:w="108" w:type="dxa"/>
          </w:tblCellMar>
        </w:tblPrEx>
        <w:trPr>
          <w:trHeight w:val="113" w:hRule="atLeast"/>
        </w:trPr>
        <w:tc>
          <w:tcPr>
            <w:tcW w:w="15614" w:type="dxa"/>
            <w:tcBorders>
              <w:top w:val="nil"/>
              <w:left w:val="nil"/>
              <w:bottom w:val="nil"/>
              <w:right w:val="nil"/>
            </w:tcBorders>
            <w:shd w:val="clear" w:color="auto" w:fill="auto"/>
            <w:noWrap/>
            <w:vAlign w:val="center"/>
          </w:tcPr>
          <w:p>
            <w:pPr>
              <w:widowControl/>
              <w:jc w:val="center"/>
              <w:rPr>
                <w:rFonts w:hint="eastAsia" w:ascii="华文中宋" w:hAnsi="华文中宋" w:eastAsia="华文中宋" w:cs="宋体"/>
                <w:color w:val="000000"/>
                <w:kern w:val="0"/>
                <w:sz w:val="32"/>
                <w:szCs w:val="32"/>
              </w:rPr>
            </w:pPr>
            <w:bookmarkStart w:id="2" w:name="RANGE!A1:I34"/>
            <w:r>
              <w:rPr>
                <w:rFonts w:hint="eastAsia" w:ascii="华文中宋" w:hAnsi="华文中宋" w:eastAsia="华文中宋" w:cs="宋体"/>
                <w:color w:val="000000"/>
                <w:kern w:val="0"/>
                <w:sz w:val="32"/>
                <w:szCs w:val="32"/>
              </w:rPr>
              <w:t>一般公共预算财政拨款基本支出决算明细表</w:t>
            </w:r>
            <w:bookmarkEnd w:id="2"/>
          </w:p>
          <w:p>
            <w:pPr>
              <w:widowControl/>
              <w:wordWrap w:val="0"/>
              <w:jc w:val="right"/>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 xml:space="preserve">                                                                                                                                公开06表</w:t>
            </w:r>
          </w:p>
          <w:p>
            <w:pPr>
              <w:widowControl/>
              <w:jc w:val="right"/>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 xml:space="preserve">  部门：</w:t>
            </w:r>
            <w:r>
              <w:rPr>
                <w:rFonts w:hint="eastAsia" w:asciiTheme="minorEastAsia" w:hAnsiTheme="minorEastAsia" w:eastAsiaTheme="minorEastAsia" w:cstheme="minorEastAsia"/>
                <w:color w:val="000000"/>
                <w:kern w:val="0"/>
                <w:sz w:val="20"/>
                <w:szCs w:val="20"/>
                <w:lang w:eastAsia="zh-CN"/>
              </w:rPr>
              <w:t>湖南省环境保护科学研究院</w:t>
            </w:r>
            <w:r>
              <w:rPr>
                <w:rFonts w:hint="eastAsia" w:asciiTheme="minorEastAsia" w:hAnsiTheme="minorEastAsia" w:eastAsiaTheme="minorEastAsia" w:cstheme="minorEastAsia"/>
                <w:color w:val="000000"/>
                <w:kern w:val="0"/>
                <w:sz w:val="20"/>
                <w:szCs w:val="20"/>
                <w:lang w:val="en-US" w:eastAsia="zh-CN"/>
              </w:rPr>
              <w:t xml:space="preserve">                   </w:t>
            </w:r>
            <w:r>
              <w:rPr>
                <w:rFonts w:hint="eastAsia" w:asciiTheme="minorEastAsia" w:hAnsiTheme="minorEastAsia" w:cstheme="minorEastAsia"/>
                <w:color w:val="000000"/>
                <w:kern w:val="0"/>
                <w:sz w:val="20"/>
                <w:szCs w:val="20"/>
                <w:lang w:val="en-US" w:eastAsia="zh-CN"/>
              </w:rPr>
              <w:t xml:space="preserve">      </w:t>
            </w:r>
            <w:r>
              <w:rPr>
                <w:rFonts w:hint="eastAsia" w:asciiTheme="minorEastAsia" w:hAnsiTheme="minorEastAsia" w:eastAsiaTheme="minorEastAsia" w:cstheme="minorEastAsia"/>
                <w:color w:val="000000"/>
                <w:kern w:val="0"/>
                <w:sz w:val="20"/>
                <w:szCs w:val="20"/>
                <w:lang w:val="en-US" w:eastAsia="zh-CN"/>
              </w:rPr>
              <w:t xml:space="preserve">         </w:t>
            </w:r>
            <w:r>
              <w:rPr>
                <w:rFonts w:hint="eastAsia" w:asciiTheme="minorEastAsia" w:hAnsiTheme="minorEastAsia" w:cstheme="minorEastAsia"/>
                <w:color w:val="000000"/>
                <w:kern w:val="0"/>
                <w:sz w:val="20"/>
                <w:szCs w:val="20"/>
                <w:lang w:val="en-US" w:eastAsia="zh-CN"/>
              </w:rPr>
              <w:t xml:space="preserve"> </w:t>
            </w:r>
            <w:r>
              <w:rPr>
                <w:rFonts w:hint="eastAsia" w:asciiTheme="minorEastAsia" w:hAnsiTheme="minorEastAsia" w:eastAsiaTheme="minorEastAsia" w:cstheme="minorEastAsia"/>
                <w:color w:val="000000"/>
                <w:kern w:val="0"/>
                <w:sz w:val="20"/>
                <w:szCs w:val="20"/>
                <w:lang w:val="en-US" w:eastAsia="zh-CN"/>
              </w:rPr>
              <w:t xml:space="preserve"> 2021年                                                                      </w:t>
            </w:r>
            <w:r>
              <w:rPr>
                <w:rFonts w:hint="eastAsia" w:asciiTheme="minorEastAsia" w:hAnsiTheme="minorEastAsia" w:eastAsiaTheme="minorEastAsia" w:cstheme="minorEastAsia"/>
                <w:color w:val="000000"/>
                <w:kern w:val="0"/>
                <w:sz w:val="20"/>
                <w:szCs w:val="20"/>
              </w:rPr>
              <w:t>单位：万元</w:t>
            </w:r>
          </w:p>
          <w:tbl>
            <w:tblPr>
              <w:tblStyle w:val="6"/>
              <w:tblW w:w="15340"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28"/>
              <w:gridCol w:w="3348"/>
              <w:gridCol w:w="1336"/>
              <w:gridCol w:w="900"/>
              <w:gridCol w:w="2237"/>
              <w:gridCol w:w="968"/>
              <w:gridCol w:w="873"/>
              <w:gridCol w:w="4022"/>
              <w:gridCol w:w="9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41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人员经费</w:t>
                  </w:r>
                </w:p>
              </w:tc>
              <w:tc>
                <w:tcPr>
                  <w:tcW w:w="9928"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科目编码</w:t>
                  </w:r>
                </w:p>
              </w:tc>
              <w:tc>
                <w:tcPr>
                  <w:tcW w:w="3348"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科目名称</w:t>
                  </w:r>
                </w:p>
              </w:tc>
              <w:tc>
                <w:tcPr>
                  <w:tcW w:w="1336"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决算数</w:t>
                  </w:r>
                </w:p>
              </w:tc>
              <w:tc>
                <w:tcPr>
                  <w:tcW w:w="900"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科目编码</w:t>
                  </w:r>
                </w:p>
              </w:tc>
              <w:tc>
                <w:tcPr>
                  <w:tcW w:w="2237"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科目名称</w:t>
                  </w:r>
                </w:p>
              </w:tc>
              <w:tc>
                <w:tcPr>
                  <w:tcW w:w="968"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决算数</w:t>
                  </w:r>
                </w:p>
              </w:tc>
              <w:tc>
                <w:tcPr>
                  <w:tcW w:w="873"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科目编码</w:t>
                  </w:r>
                </w:p>
              </w:tc>
              <w:tc>
                <w:tcPr>
                  <w:tcW w:w="4022"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科目名称</w:t>
                  </w:r>
                </w:p>
              </w:tc>
              <w:tc>
                <w:tcPr>
                  <w:tcW w:w="928"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3348"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1336"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900"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2237"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968"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873"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4022"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c>
                <w:tcPr>
                  <w:tcW w:w="928"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301</w:t>
                  </w:r>
                </w:p>
              </w:tc>
              <w:tc>
                <w:tcPr>
                  <w:tcW w:w="3348"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工资福利支出</w:t>
                  </w:r>
                </w:p>
              </w:tc>
              <w:tc>
                <w:tcPr>
                  <w:tcW w:w="1336"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1,407.74</w:t>
                  </w:r>
                </w:p>
              </w:tc>
              <w:tc>
                <w:tcPr>
                  <w:tcW w:w="900"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w:t>
                  </w:r>
                </w:p>
              </w:tc>
              <w:tc>
                <w:tcPr>
                  <w:tcW w:w="2237"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商品和服务支出</w:t>
                  </w:r>
                </w:p>
              </w:tc>
              <w:tc>
                <w:tcPr>
                  <w:tcW w:w="968" w:type="dxa"/>
                  <w:tcBorders>
                    <w:top w:val="single" w:color="auto" w:sz="4" w:space="0"/>
                    <w:left w:val="nil"/>
                    <w:bottom w:val="single" w:color="000000" w:sz="4" w:space="0"/>
                    <w:right w:val="single" w:color="000000" w:sz="4" w:space="0"/>
                  </w:tcBorders>
                  <w:shd w:val="clear" w:color="auto" w:fill="auto"/>
                  <w:noWrap/>
                  <w:vAlign w:val="center"/>
                </w:tcPr>
                <w:p>
                  <w:pPr>
                    <w:jc w:val="right"/>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307</w:t>
                  </w:r>
                </w:p>
              </w:tc>
              <w:tc>
                <w:tcPr>
                  <w:tcW w:w="4022"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债务利息及费用支出</w:t>
                  </w:r>
                </w:p>
              </w:tc>
              <w:tc>
                <w:tcPr>
                  <w:tcW w:w="928" w:type="dxa"/>
                  <w:tcBorders>
                    <w:top w:val="single" w:color="auto" w:sz="4" w:space="0"/>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30101</w:t>
                  </w:r>
                </w:p>
              </w:tc>
              <w:tc>
                <w:tcPr>
                  <w:tcW w:w="33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基本工资</w:t>
                  </w:r>
                </w:p>
              </w:tc>
              <w:tc>
                <w:tcPr>
                  <w:tcW w:w="13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378.75</w:t>
                  </w:r>
                </w:p>
              </w:tc>
              <w:tc>
                <w:tcPr>
                  <w:tcW w:w="9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30201</w:t>
                  </w:r>
                </w:p>
              </w:tc>
              <w:tc>
                <w:tcPr>
                  <w:tcW w:w="22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办公费</w:t>
                  </w:r>
                </w:p>
              </w:tc>
              <w:tc>
                <w:tcPr>
                  <w:tcW w:w="96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30701</w:t>
                  </w:r>
                </w:p>
              </w:tc>
              <w:tc>
                <w:tcPr>
                  <w:tcW w:w="4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国内债务付息</w:t>
                  </w:r>
                </w:p>
              </w:tc>
              <w:tc>
                <w:tcPr>
                  <w:tcW w:w="92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30102</w:t>
                  </w:r>
                </w:p>
              </w:tc>
              <w:tc>
                <w:tcPr>
                  <w:tcW w:w="33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津贴补贴</w:t>
                  </w:r>
                </w:p>
              </w:tc>
              <w:tc>
                <w:tcPr>
                  <w:tcW w:w="13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40.00</w:t>
                  </w:r>
                </w:p>
              </w:tc>
              <w:tc>
                <w:tcPr>
                  <w:tcW w:w="9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30202</w:t>
                  </w:r>
                </w:p>
              </w:tc>
              <w:tc>
                <w:tcPr>
                  <w:tcW w:w="22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印刷费</w:t>
                  </w:r>
                </w:p>
              </w:tc>
              <w:tc>
                <w:tcPr>
                  <w:tcW w:w="96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30702</w:t>
                  </w:r>
                </w:p>
              </w:tc>
              <w:tc>
                <w:tcPr>
                  <w:tcW w:w="4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国外债务付息</w:t>
                  </w:r>
                </w:p>
              </w:tc>
              <w:tc>
                <w:tcPr>
                  <w:tcW w:w="92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30103</w:t>
                  </w:r>
                </w:p>
              </w:tc>
              <w:tc>
                <w:tcPr>
                  <w:tcW w:w="33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奖金</w:t>
                  </w:r>
                </w:p>
              </w:tc>
              <w:tc>
                <w:tcPr>
                  <w:tcW w:w="1336"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9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30203</w:t>
                  </w:r>
                </w:p>
              </w:tc>
              <w:tc>
                <w:tcPr>
                  <w:tcW w:w="22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咨询费</w:t>
                  </w:r>
                </w:p>
              </w:tc>
              <w:tc>
                <w:tcPr>
                  <w:tcW w:w="96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310</w:t>
                  </w:r>
                </w:p>
              </w:tc>
              <w:tc>
                <w:tcPr>
                  <w:tcW w:w="4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资本性支出</w:t>
                  </w:r>
                </w:p>
              </w:tc>
              <w:tc>
                <w:tcPr>
                  <w:tcW w:w="92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30106</w:t>
                  </w:r>
                </w:p>
              </w:tc>
              <w:tc>
                <w:tcPr>
                  <w:tcW w:w="33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伙食补助费</w:t>
                  </w:r>
                </w:p>
              </w:tc>
              <w:tc>
                <w:tcPr>
                  <w:tcW w:w="1336"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9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30204</w:t>
                  </w:r>
                </w:p>
              </w:tc>
              <w:tc>
                <w:tcPr>
                  <w:tcW w:w="22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手续费</w:t>
                  </w:r>
                </w:p>
              </w:tc>
              <w:tc>
                <w:tcPr>
                  <w:tcW w:w="96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31001</w:t>
                  </w:r>
                </w:p>
              </w:tc>
              <w:tc>
                <w:tcPr>
                  <w:tcW w:w="4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房屋建筑物购建</w:t>
                  </w:r>
                </w:p>
              </w:tc>
              <w:tc>
                <w:tcPr>
                  <w:tcW w:w="92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30107</w:t>
                  </w:r>
                </w:p>
              </w:tc>
              <w:tc>
                <w:tcPr>
                  <w:tcW w:w="33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绩效工资</w:t>
                  </w:r>
                </w:p>
              </w:tc>
              <w:tc>
                <w:tcPr>
                  <w:tcW w:w="13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71.32</w:t>
                  </w:r>
                </w:p>
              </w:tc>
              <w:tc>
                <w:tcPr>
                  <w:tcW w:w="9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30205</w:t>
                  </w:r>
                </w:p>
              </w:tc>
              <w:tc>
                <w:tcPr>
                  <w:tcW w:w="22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水费</w:t>
                  </w:r>
                </w:p>
              </w:tc>
              <w:tc>
                <w:tcPr>
                  <w:tcW w:w="96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31002</w:t>
                  </w:r>
                </w:p>
              </w:tc>
              <w:tc>
                <w:tcPr>
                  <w:tcW w:w="4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办公设备购置</w:t>
                  </w:r>
                </w:p>
              </w:tc>
              <w:tc>
                <w:tcPr>
                  <w:tcW w:w="92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30108</w:t>
                  </w:r>
                </w:p>
              </w:tc>
              <w:tc>
                <w:tcPr>
                  <w:tcW w:w="33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机关事业单位基本养老保险缴费</w:t>
                  </w:r>
                </w:p>
              </w:tc>
              <w:tc>
                <w:tcPr>
                  <w:tcW w:w="13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248.42</w:t>
                  </w:r>
                </w:p>
              </w:tc>
              <w:tc>
                <w:tcPr>
                  <w:tcW w:w="9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30206</w:t>
                  </w:r>
                </w:p>
              </w:tc>
              <w:tc>
                <w:tcPr>
                  <w:tcW w:w="22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电费</w:t>
                  </w:r>
                </w:p>
              </w:tc>
              <w:tc>
                <w:tcPr>
                  <w:tcW w:w="96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31003</w:t>
                  </w:r>
                </w:p>
              </w:tc>
              <w:tc>
                <w:tcPr>
                  <w:tcW w:w="4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专用设备购置</w:t>
                  </w:r>
                </w:p>
              </w:tc>
              <w:tc>
                <w:tcPr>
                  <w:tcW w:w="92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30109</w:t>
                  </w:r>
                </w:p>
              </w:tc>
              <w:tc>
                <w:tcPr>
                  <w:tcW w:w="33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职业年金缴费</w:t>
                  </w:r>
                </w:p>
              </w:tc>
              <w:tc>
                <w:tcPr>
                  <w:tcW w:w="13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124.09</w:t>
                  </w:r>
                </w:p>
              </w:tc>
              <w:tc>
                <w:tcPr>
                  <w:tcW w:w="9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30207</w:t>
                  </w:r>
                </w:p>
              </w:tc>
              <w:tc>
                <w:tcPr>
                  <w:tcW w:w="22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邮电费</w:t>
                  </w:r>
                </w:p>
              </w:tc>
              <w:tc>
                <w:tcPr>
                  <w:tcW w:w="96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31005</w:t>
                  </w:r>
                </w:p>
              </w:tc>
              <w:tc>
                <w:tcPr>
                  <w:tcW w:w="4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基础设施建设</w:t>
                  </w:r>
                </w:p>
              </w:tc>
              <w:tc>
                <w:tcPr>
                  <w:tcW w:w="92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30110</w:t>
                  </w:r>
                </w:p>
              </w:tc>
              <w:tc>
                <w:tcPr>
                  <w:tcW w:w="33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职工基本医疗保险缴费</w:t>
                  </w:r>
                </w:p>
              </w:tc>
              <w:tc>
                <w:tcPr>
                  <w:tcW w:w="13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164.81</w:t>
                  </w:r>
                </w:p>
              </w:tc>
              <w:tc>
                <w:tcPr>
                  <w:tcW w:w="9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30208</w:t>
                  </w:r>
                </w:p>
              </w:tc>
              <w:tc>
                <w:tcPr>
                  <w:tcW w:w="22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取暖费</w:t>
                  </w:r>
                </w:p>
              </w:tc>
              <w:tc>
                <w:tcPr>
                  <w:tcW w:w="96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31006</w:t>
                  </w:r>
                </w:p>
              </w:tc>
              <w:tc>
                <w:tcPr>
                  <w:tcW w:w="4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大型修缮</w:t>
                  </w:r>
                </w:p>
              </w:tc>
              <w:tc>
                <w:tcPr>
                  <w:tcW w:w="92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30111</w:t>
                  </w:r>
                </w:p>
              </w:tc>
              <w:tc>
                <w:tcPr>
                  <w:tcW w:w="33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公务员医疗补助缴费</w:t>
                  </w:r>
                </w:p>
              </w:tc>
              <w:tc>
                <w:tcPr>
                  <w:tcW w:w="1336"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9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30209</w:t>
                  </w:r>
                </w:p>
              </w:tc>
              <w:tc>
                <w:tcPr>
                  <w:tcW w:w="22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物业管理费</w:t>
                  </w:r>
                </w:p>
              </w:tc>
              <w:tc>
                <w:tcPr>
                  <w:tcW w:w="96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31007</w:t>
                  </w:r>
                </w:p>
              </w:tc>
              <w:tc>
                <w:tcPr>
                  <w:tcW w:w="4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信息网络及软件购置更新</w:t>
                  </w:r>
                </w:p>
              </w:tc>
              <w:tc>
                <w:tcPr>
                  <w:tcW w:w="92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30112</w:t>
                  </w:r>
                </w:p>
              </w:tc>
              <w:tc>
                <w:tcPr>
                  <w:tcW w:w="33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其他社会保障缴费</w:t>
                  </w:r>
                </w:p>
              </w:tc>
              <w:tc>
                <w:tcPr>
                  <w:tcW w:w="13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35.26</w:t>
                  </w:r>
                </w:p>
              </w:tc>
              <w:tc>
                <w:tcPr>
                  <w:tcW w:w="9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30211</w:t>
                  </w:r>
                </w:p>
              </w:tc>
              <w:tc>
                <w:tcPr>
                  <w:tcW w:w="22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差旅费</w:t>
                  </w:r>
                </w:p>
              </w:tc>
              <w:tc>
                <w:tcPr>
                  <w:tcW w:w="96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31008</w:t>
                  </w:r>
                </w:p>
              </w:tc>
              <w:tc>
                <w:tcPr>
                  <w:tcW w:w="4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物资储备</w:t>
                  </w:r>
                </w:p>
              </w:tc>
              <w:tc>
                <w:tcPr>
                  <w:tcW w:w="92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30113</w:t>
                  </w:r>
                </w:p>
              </w:tc>
              <w:tc>
                <w:tcPr>
                  <w:tcW w:w="33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住房公积金</w:t>
                  </w:r>
                </w:p>
              </w:tc>
              <w:tc>
                <w:tcPr>
                  <w:tcW w:w="13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345.08</w:t>
                  </w:r>
                </w:p>
              </w:tc>
              <w:tc>
                <w:tcPr>
                  <w:tcW w:w="9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30212</w:t>
                  </w:r>
                </w:p>
              </w:tc>
              <w:tc>
                <w:tcPr>
                  <w:tcW w:w="22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因公出国（境）费用</w:t>
                  </w:r>
                </w:p>
              </w:tc>
              <w:tc>
                <w:tcPr>
                  <w:tcW w:w="96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31009</w:t>
                  </w:r>
                </w:p>
              </w:tc>
              <w:tc>
                <w:tcPr>
                  <w:tcW w:w="4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土地补偿</w:t>
                  </w:r>
                </w:p>
              </w:tc>
              <w:tc>
                <w:tcPr>
                  <w:tcW w:w="92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30114</w:t>
                  </w:r>
                </w:p>
              </w:tc>
              <w:tc>
                <w:tcPr>
                  <w:tcW w:w="33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医疗费</w:t>
                  </w:r>
                </w:p>
              </w:tc>
              <w:tc>
                <w:tcPr>
                  <w:tcW w:w="1336"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9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30213</w:t>
                  </w:r>
                </w:p>
              </w:tc>
              <w:tc>
                <w:tcPr>
                  <w:tcW w:w="22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维修（护）费</w:t>
                  </w:r>
                </w:p>
              </w:tc>
              <w:tc>
                <w:tcPr>
                  <w:tcW w:w="96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31010</w:t>
                  </w:r>
                </w:p>
              </w:tc>
              <w:tc>
                <w:tcPr>
                  <w:tcW w:w="4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安置补助</w:t>
                  </w:r>
                </w:p>
              </w:tc>
              <w:tc>
                <w:tcPr>
                  <w:tcW w:w="92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30199</w:t>
                  </w:r>
                </w:p>
              </w:tc>
              <w:tc>
                <w:tcPr>
                  <w:tcW w:w="33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其他工资福利支出</w:t>
                  </w:r>
                </w:p>
              </w:tc>
              <w:tc>
                <w:tcPr>
                  <w:tcW w:w="1336"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9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30214</w:t>
                  </w:r>
                </w:p>
              </w:tc>
              <w:tc>
                <w:tcPr>
                  <w:tcW w:w="22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租赁费</w:t>
                  </w:r>
                </w:p>
              </w:tc>
              <w:tc>
                <w:tcPr>
                  <w:tcW w:w="96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31011</w:t>
                  </w:r>
                </w:p>
              </w:tc>
              <w:tc>
                <w:tcPr>
                  <w:tcW w:w="4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地上附着物和青苗补偿</w:t>
                  </w:r>
                </w:p>
              </w:tc>
              <w:tc>
                <w:tcPr>
                  <w:tcW w:w="92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303</w:t>
                  </w:r>
                </w:p>
              </w:tc>
              <w:tc>
                <w:tcPr>
                  <w:tcW w:w="33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对个人和家庭的补助</w:t>
                  </w:r>
                </w:p>
              </w:tc>
              <w:tc>
                <w:tcPr>
                  <w:tcW w:w="13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12.28</w:t>
                  </w:r>
                </w:p>
              </w:tc>
              <w:tc>
                <w:tcPr>
                  <w:tcW w:w="9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30215</w:t>
                  </w:r>
                </w:p>
              </w:tc>
              <w:tc>
                <w:tcPr>
                  <w:tcW w:w="22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会议费</w:t>
                  </w:r>
                </w:p>
              </w:tc>
              <w:tc>
                <w:tcPr>
                  <w:tcW w:w="96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31012</w:t>
                  </w:r>
                </w:p>
              </w:tc>
              <w:tc>
                <w:tcPr>
                  <w:tcW w:w="4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拆迁补偿</w:t>
                  </w:r>
                </w:p>
              </w:tc>
              <w:tc>
                <w:tcPr>
                  <w:tcW w:w="92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30301</w:t>
                  </w:r>
                </w:p>
              </w:tc>
              <w:tc>
                <w:tcPr>
                  <w:tcW w:w="33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离休费</w:t>
                  </w:r>
                </w:p>
              </w:tc>
              <w:tc>
                <w:tcPr>
                  <w:tcW w:w="1336"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9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30216</w:t>
                  </w:r>
                </w:p>
              </w:tc>
              <w:tc>
                <w:tcPr>
                  <w:tcW w:w="22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培训费</w:t>
                  </w:r>
                </w:p>
              </w:tc>
              <w:tc>
                <w:tcPr>
                  <w:tcW w:w="96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31013</w:t>
                  </w:r>
                </w:p>
              </w:tc>
              <w:tc>
                <w:tcPr>
                  <w:tcW w:w="4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公务用车购置</w:t>
                  </w:r>
                </w:p>
              </w:tc>
              <w:tc>
                <w:tcPr>
                  <w:tcW w:w="92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30302</w:t>
                  </w:r>
                </w:p>
              </w:tc>
              <w:tc>
                <w:tcPr>
                  <w:tcW w:w="33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退休费</w:t>
                  </w:r>
                </w:p>
              </w:tc>
              <w:tc>
                <w:tcPr>
                  <w:tcW w:w="13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11.52</w:t>
                  </w:r>
                </w:p>
              </w:tc>
              <w:tc>
                <w:tcPr>
                  <w:tcW w:w="9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30217</w:t>
                  </w:r>
                </w:p>
              </w:tc>
              <w:tc>
                <w:tcPr>
                  <w:tcW w:w="22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公务接待费</w:t>
                  </w:r>
                </w:p>
              </w:tc>
              <w:tc>
                <w:tcPr>
                  <w:tcW w:w="96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31019</w:t>
                  </w:r>
                </w:p>
              </w:tc>
              <w:tc>
                <w:tcPr>
                  <w:tcW w:w="4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其他交通工具购置</w:t>
                  </w:r>
                </w:p>
              </w:tc>
              <w:tc>
                <w:tcPr>
                  <w:tcW w:w="92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30303</w:t>
                  </w:r>
                </w:p>
              </w:tc>
              <w:tc>
                <w:tcPr>
                  <w:tcW w:w="33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退职（役）费</w:t>
                  </w:r>
                </w:p>
              </w:tc>
              <w:tc>
                <w:tcPr>
                  <w:tcW w:w="1336"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9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30218</w:t>
                  </w:r>
                </w:p>
              </w:tc>
              <w:tc>
                <w:tcPr>
                  <w:tcW w:w="22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专用材料费</w:t>
                  </w:r>
                </w:p>
              </w:tc>
              <w:tc>
                <w:tcPr>
                  <w:tcW w:w="96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31021</w:t>
                  </w:r>
                </w:p>
              </w:tc>
              <w:tc>
                <w:tcPr>
                  <w:tcW w:w="4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文物和陈列品购置</w:t>
                  </w:r>
                </w:p>
              </w:tc>
              <w:tc>
                <w:tcPr>
                  <w:tcW w:w="92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30304</w:t>
                  </w:r>
                </w:p>
              </w:tc>
              <w:tc>
                <w:tcPr>
                  <w:tcW w:w="33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抚恤金</w:t>
                  </w:r>
                </w:p>
              </w:tc>
              <w:tc>
                <w:tcPr>
                  <w:tcW w:w="1336"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9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30224</w:t>
                  </w:r>
                </w:p>
              </w:tc>
              <w:tc>
                <w:tcPr>
                  <w:tcW w:w="22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被装购置费</w:t>
                  </w:r>
                </w:p>
              </w:tc>
              <w:tc>
                <w:tcPr>
                  <w:tcW w:w="96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31022</w:t>
                  </w:r>
                </w:p>
              </w:tc>
              <w:tc>
                <w:tcPr>
                  <w:tcW w:w="4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无形资产购置</w:t>
                  </w:r>
                </w:p>
              </w:tc>
              <w:tc>
                <w:tcPr>
                  <w:tcW w:w="92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30305</w:t>
                  </w:r>
                </w:p>
              </w:tc>
              <w:tc>
                <w:tcPr>
                  <w:tcW w:w="33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生活补助</w:t>
                  </w:r>
                </w:p>
              </w:tc>
              <w:tc>
                <w:tcPr>
                  <w:tcW w:w="13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0.36</w:t>
                  </w:r>
                </w:p>
              </w:tc>
              <w:tc>
                <w:tcPr>
                  <w:tcW w:w="9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30225</w:t>
                  </w:r>
                </w:p>
              </w:tc>
              <w:tc>
                <w:tcPr>
                  <w:tcW w:w="22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专用燃料费</w:t>
                  </w:r>
                </w:p>
              </w:tc>
              <w:tc>
                <w:tcPr>
                  <w:tcW w:w="96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31099</w:t>
                  </w:r>
                </w:p>
              </w:tc>
              <w:tc>
                <w:tcPr>
                  <w:tcW w:w="4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其他资本性支出</w:t>
                  </w:r>
                </w:p>
              </w:tc>
              <w:tc>
                <w:tcPr>
                  <w:tcW w:w="92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30306</w:t>
                  </w:r>
                </w:p>
              </w:tc>
              <w:tc>
                <w:tcPr>
                  <w:tcW w:w="33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救济费</w:t>
                  </w:r>
                </w:p>
              </w:tc>
              <w:tc>
                <w:tcPr>
                  <w:tcW w:w="1336"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9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30226</w:t>
                  </w:r>
                </w:p>
              </w:tc>
              <w:tc>
                <w:tcPr>
                  <w:tcW w:w="22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劳务费</w:t>
                  </w:r>
                </w:p>
              </w:tc>
              <w:tc>
                <w:tcPr>
                  <w:tcW w:w="96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399</w:t>
                  </w:r>
                </w:p>
              </w:tc>
              <w:tc>
                <w:tcPr>
                  <w:tcW w:w="4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其他支出</w:t>
                  </w:r>
                </w:p>
              </w:tc>
              <w:tc>
                <w:tcPr>
                  <w:tcW w:w="92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30307</w:t>
                  </w:r>
                </w:p>
              </w:tc>
              <w:tc>
                <w:tcPr>
                  <w:tcW w:w="33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医疗费补助</w:t>
                  </w:r>
                </w:p>
              </w:tc>
              <w:tc>
                <w:tcPr>
                  <w:tcW w:w="13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0.40</w:t>
                  </w:r>
                </w:p>
              </w:tc>
              <w:tc>
                <w:tcPr>
                  <w:tcW w:w="9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30227</w:t>
                  </w:r>
                </w:p>
              </w:tc>
              <w:tc>
                <w:tcPr>
                  <w:tcW w:w="22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委托业务费</w:t>
                  </w:r>
                </w:p>
              </w:tc>
              <w:tc>
                <w:tcPr>
                  <w:tcW w:w="96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39906</w:t>
                  </w:r>
                </w:p>
              </w:tc>
              <w:tc>
                <w:tcPr>
                  <w:tcW w:w="4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赠与</w:t>
                  </w:r>
                </w:p>
              </w:tc>
              <w:tc>
                <w:tcPr>
                  <w:tcW w:w="92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30308</w:t>
                  </w:r>
                </w:p>
              </w:tc>
              <w:tc>
                <w:tcPr>
                  <w:tcW w:w="33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助学金</w:t>
                  </w:r>
                </w:p>
              </w:tc>
              <w:tc>
                <w:tcPr>
                  <w:tcW w:w="1336"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9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30228</w:t>
                  </w:r>
                </w:p>
              </w:tc>
              <w:tc>
                <w:tcPr>
                  <w:tcW w:w="22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工会经费</w:t>
                  </w:r>
                </w:p>
              </w:tc>
              <w:tc>
                <w:tcPr>
                  <w:tcW w:w="96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39907</w:t>
                  </w:r>
                </w:p>
              </w:tc>
              <w:tc>
                <w:tcPr>
                  <w:tcW w:w="4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国家赔偿费用支出</w:t>
                  </w:r>
                </w:p>
              </w:tc>
              <w:tc>
                <w:tcPr>
                  <w:tcW w:w="928" w:type="dxa"/>
                  <w:tcBorders>
                    <w:top w:val="nil"/>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30309</w:t>
                  </w:r>
                </w:p>
              </w:tc>
              <w:tc>
                <w:tcPr>
                  <w:tcW w:w="3348" w:type="dxa"/>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奖励金</w:t>
                  </w:r>
                </w:p>
              </w:tc>
              <w:tc>
                <w:tcPr>
                  <w:tcW w:w="1336" w:type="dxa"/>
                  <w:tcBorders>
                    <w:top w:val="nil"/>
                    <w:left w:val="nil"/>
                    <w:bottom w:val="single" w:color="auto"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900" w:type="dxa"/>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30229</w:t>
                  </w:r>
                </w:p>
              </w:tc>
              <w:tc>
                <w:tcPr>
                  <w:tcW w:w="2237" w:type="dxa"/>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福利费</w:t>
                  </w:r>
                </w:p>
              </w:tc>
              <w:tc>
                <w:tcPr>
                  <w:tcW w:w="968" w:type="dxa"/>
                  <w:tcBorders>
                    <w:top w:val="nil"/>
                    <w:left w:val="nil"/>
                    <w:bottom w:val="single" w:color="auto"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39908</w:t>
                  </w:r>
                </w:p>
              </w:tc>
              <w:tc>
                <w:tcPr>
                  <w:tcW w:w="4022" w:type="dxa"/>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对民间非营利组织和群众性自治组织补贴</w:t>
                  </w:r>
                </w:p>
              </w:tc>
              <w:tc>
                <w:tcPr>
                  <w:tcW w:w="928" w:type="dxa"/>
                  <w:tcBorders>
                    <w:top w:val="nil"/>
                    <w:left w:val="nil"/>
                    <w:bottom w:val="single" w:color="auto"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30310</w:t>
                  </w:r>
                </w:p>
              </w:tc>
              <w:tc>
                <w:tcPr>
                  <w:tcW w:w="334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个人农业生产补贴</w:t>
                  </w:r>
                </w:p>
              </w:tc>
              <w:tc>
                <w:tcPr>
                  <w:tcW w:w="13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30231</w:t>
                  </w:r>
                </w:p>
              </w:tc>
              <w:tc>
                <w:tcPr>
                  <w:tcW w:w="223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公务用车运行维护费</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39999</w:t>
                  </w:r>
                </w:p>
              </w:tc>
              <w:tc>
                <w:tcPr>
                  <w:tcW w:w="40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其他支出</w:t>
                  </w:r>
                </w:p>
              </w:tc>
              <w:tc>
                <w:tcPr>
                  <w:tcW w:w="92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30311</w:t>
                  </w:r>
                </w:p>
              </w:tc>
              <w:tc>
                <w:tcPr>
                  <w:tcW w:w="334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代缴社会保险费</w:t>
                  </w:r>
                </w:p>
              </w:tc>
              <w:tc>
                <w:tcPr>
                  <w:tcW w:w="13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30239</w:t>
                  </w:r>
                </w:p>
              </w:tc>
              <w:tc>
                <w:tcPr>
                  <w:tcW w:w="223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其他交通费用</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Theme="minorEastAsia" w:hAnsiTheme="minorEastAsia" w:eastAsiaTheme="minorEastAsia" w:cstheme="minorEastAsia"/>
                      <w:i w:val="0"/>
                      <w:iCs w:val="0"/>
                      <w:color w:val="000000"/>
                      <w:sz w:val="20"/>
                      <w:szCs w:val="20"/>
                      <w:u w:val="none"/>
                    </w:rPr>
                  </w:pPr>
                </w:p>
              </w:tc>
              <w:tc>
                <w:tcPr>
                  <w:tcW w:w="40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Theme="minorEastAsia" w:hAnsiTheme="minorEastAsia" w:eastAsiaTheme="minorEastAsia" w:cstheme="minorEastAsia"/>
                      <w:i w:val="0"/>
                      <w:iCs w:val="0"/>
                      <w:color w:val="000000"/>
                      <w:sz w:val="20"/>
                      <w:szCs w:val="20"/>
                      <w:u w:val="none"/>
                    </w:rPr>
                  </w:pPr>
                </w:p>
              </w:tc>
              <w:tc>
                <w:tcPr>
                  <w:tcW w:w="92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30399</w:t>
                  </w:r>
                </w:p>
              </w:tc>
              <w:tc>
                <w:tcPr>
                  <w:tcW w:w="334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其他对个人和家庭的补助</w:t>
                  </w:r>
                </w:p>
              </w:tc>
              <w:tc>
                <w:tcPr>
                  <w:tcW w:w="13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30240</w:t>
                  </w:r>
                </w:p>
              </w:tc>
              <w:tc>
                <w:tcPr>
                  <w:tcW w:w="223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税金及附加费用</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Theme="minorEastAsia" w:hAnsiTheme="minorEastAsia" w:eastAsiaTheme="minorEastAsia" w:cstheme="minorEastAsia"/>
                      <w:i w:val="0"/>
                      <w:iCs w:val="0"/>
                      <w:color w:val="000000"/>
                      <w:sz w:val="20"/>
                      <w:szCs w:val="20"/>
                      <w:u w:val="none"/>
                    </w:rPr>
                  </w:pPr>
                </w:p>
              </w:tc>
              <w:tc>
                <w:tcPr>
                  <w:tcW w:w="40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Theme="minorEastAsia" w:hAnsiTheme="minorEastAsia" w:eastAsiaTheme="minorEastAsia" w:cstheme="minorEastAsia"/>
                      <w:i w:val="0"/>
                      <w:iCs w:val="0"/>
                      <w:color w:val="000000"/>
                      <w:sz w:val="20"/>
                      <w:szCs w:val="20"/>
                      <w:u w:val="none"/>
                    </w:rPr>
                  </w:pPr>
                </w:p>
              </w:tc>
              <w:tc>
                <w:tcPr>
                  <w:tcW w:w="92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Theme="minorEastAsia" w:hAnsiTheme="minorEastAsia" w:eastAsiaTheme="minorEastAsia" w:cstheme="minorEastAsia"/>
                      <w:i w:val="0"/>
                      <w:iCs w:val="0"/>
                      <w:color w:val="000000"/>
                      <w:sz w:val="20"/>
                      <w:szCs w:val="20"/>
                      <w:u w:val="none"/>
                    </w:rPr>
                  </w:pPr>
                </w:p>
              </w:tc>
              <w:tc>
                <w:tcPr>
                  <w:tcW w:w="33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Theme="minorEastAsia" w:hAnsiTheme="minorEastAsia" w:eastAsiaTheme="minorEastAsia" w:cstheme="minorEastAsia"/>
                      <w:i w:val="0"/>
                      <w:iCs w:val="0"/>
                      <w:color w:val="000000"/>
                      <w:sz w:val="20"/>
                      <w:szCs w:val="20"/>
                      <w:u w:val="none"/>
                    </w:rPr>
                  </w:pPr>
                </w:p>
              </w:tc>
              <w:tc>
                <w:tcPr>
                  <w:tcW w:w="13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30299</w:t>
                  </w:r>
                </w:p>
              </w:tc>
              <w:tc>
                <w:tcPr>
                  <w:tcW w:w="223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其他商品和服务支出</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c>
                <w:tcPr>
                  <w:tcW w:w="87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Theme="minorEastAsia" w:hAnsiTheme="minorEastAsia" w:eastAsiaTheme="minorEastAsia" w:cstheme="minorEastAsia"/>
                      <w:i w:val="0"/>
                      <w:iCs w:val="0"/>
                      <w:color w:val="000000"/>
                      <w:sz w:val="20"/>
                      <w:szCs w:val="20"/>
                      <w:u w:val="none"/>
                    </w:rPr>
                  </w:pPr>
                </w:p>
              </w:tc>
              <w:tc>
                <w:tcPr>
                  <w:tcW w:w="40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Theme="minorEastAsia" w:hAnsiTheme="minorEastAsia" w:eastAsiaTheme="minorEastAsia" w:cstheme="minorEastAsia"/>
                      <w:i w:val="0"/>
                      <w:iCs w:val="0"/>
                      <w:color w:val="000000"/>
                      <w:sz w:val="20"/>
                      <w:szCs w:val="20"/>
                      <w:u w:val="none"/>
                    </w:rPr>
                  </w:pPr>
                </w:p>
              </w:tc>
              <w:tc>
                <w:tcPr>
                  <w:tcW w:w="92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076"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人员经费合计</w:t>
                  </w:r>
                </w:p>
              </w:tc>
              <w:tc>
                <w:tcPr>
                  <w:tcW w:w="1336"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1,420.02</w:t>
                  </w:r>
                </w:p>
              </w:tc>
              <w:tc>
                <w:tcPr>
                  <w:tcW w:w="9000" w:type="dxa"/>
                  <w:gridSpan w:val="5"/>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公用经费合计</w:t>
                  </w:r>
                </w:p>
              </w:tc>
              <w:tc>
                <w:tcPr>
                  <w:tcW w:w="928" w:type="dxa"/>
                  <w:tcBorders>
                    <w:top w:val="single" w:color="auto" w:sz="4" w:space="0"/>
                    <w:left w:val="nil"/>
                    <w:bottom w:val="single" w:color="000000" w:sz="4" w:space="0"/>
                    <w:right w:val="single" w:color="000000" w:sz="4" w:space="0"/>
                  </w:tcBorders>
                  <w:shd w:val="clear" w:color="auto" w:fill="auto"/>
                  <w:noWrap/>
                  <w:vAlign w:val="center"/>
                </w:tcPr>
                <w:p>
                  <w:pPr>
                    <w:jc w:val="right"/>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0.00</w:t>
                  </w:r>
                </w:p>
              </w:tc>
            </w:tr>
          </w:tbl>
          <w:p>
            <w:pPr>
              <w:widowControl/>
              <w:jc w:val="left"/>
              <w:rPr>
                <w:rFonts w:hint="eastAsia" w:asciiTheme="minorEastAsia" w:hAnsiTheme="minorEastAsia" w:eastAsiaTheme="minorEastAsia" w:cstheme="minorEastAsia"/>
                <w:color w:val="000000"/>
                <w:kern w:val="0"/>
                <w:sz w:val="20"/>
                <w:szCs w:val="20"/>
              </w:rPr>
            </w:pPr>
          </w:p>
        </w:tc>
      </w:tr>
      <w:tr>
        <w:tblPrEx>
          <w:tblCellMar>
            <w:top w:w="0" w:type="dxa"/>
            <w:left w:w="108" w:type="dxa"/>
            <w:bottom w:w="0" w:type="dxa"/>
            <w:right w:w="108" w:type="dxa"/>
          </w:tblCellMar>
        </w:tblPrEx>
        <w:trPr>
          <w:trHeight w:val="284" w:hRule="exact"/>
        </w:trPr>
        <w:tc>
          <w:tcPr>
            <w:tcW w:w="15614" w:type="dxa"/>
            <w:tcBorders>
              <w:top w:val="nil"/>
              <w:left w:val="nil"/>
              <w:bottom w:val="nil"/>
              <w:right w:val="nil"/>
            </w:tcBorders>
            <w:shd w:val="clear" w:color="auto" w:fill="auto"/>
            <w:noWrap/>
            <w:vAlign w:val="center"/>
          </w:tcPr>
          <w:p>
            <w:pPr>
              <w:widowControl/>
              <w:jc w:val="left"/>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注：本表反映部门本年度一般公共预算财政拨款基本支出明细情况。</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华文中宋" w:hAnsi="华文中宋" w:eastAsia="华文中宋" w:cs="宋体"/>
          <w:color w:val="000000"/>
          <w:kern w:val="0"/>
          <w:sz w:val="32"/>
          <w:szCs w:val="32"/>
        </w:rPr>
      </w:pPr>
    </w:p>
    <w:p>
      <w:pPr>
        <w:widowControl/>
        <w:jc w:val="center"/>
        <w:rPr>
          <w:rFonts w:hint="eastAsia"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一般公共预算财政拨款“三公”经费支出决算表</w:t>
      </w:r>
    </w:p>
    <w:p>
      <w:pPr>
        <w:widowControl/>
        <w:jc w:val="left"/>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 xml:space="preserve">                                                                                                                          </w:t>
      </w:r>
      <w:r>
        <w:rPr>
          <w:rFonts w:hint="eastAsia" w:asciiTheme="minorEastAsia" w:hAnsiTheme="minorEastAsia" w:eastAsiaTheme="minorEastAsia" w:cstheme="minorEastAsia"/>
          <w:color w:val="000000"/>
          <w:kern w:val="0"/>
          <w:sz w:val="20"/>
          <w:szCs w:val="20"/>
          <w:lang w:val="en-US" w:eastAsia="zh-CN"/>
        </w:rPr>
        <w:t xml:space="preserve">         </w:t>
      </w:r>
      <w:r>
        <w:rPr>
          <w:rFonts w:hint="eastAsia" w:asciiTheme="minorEastAsia" w:hAnsiTheme="minorEastAsia" w:cstheme="minorEastAsia"/>
          <w:color w:val="000000"/>
          <w:kern w:val="0"/>
          <w:sz w:val="20"/>
          <w:szCs w:val="20"/>
          <w:lang w:val="en-US" w:eastAsia="zh-CN"/>
        </w:rPr>
        <w:t xml:space="preserve">       </w:t>
      </w:r>
      <w:r>
        <w:rPr>
          <w:rFonts w:hint="eastAsia" w:asciiTheme="minorEastAsia" w:hAnsiTheme="minorEastAsia" w:eastAsiaTheme="minorEastAsia" w:cstheme="minorEastAsia"/>
          <w:color w:val="000000"/>
          <w:kern w:val="0"/>
          <w:sz w:val="20"/>
          <w:szCs w:val="20"/>
          <w:lang w:val="en-US" w:eastAsia="zh-CN"/>
        </w:rPr>
        <w:t xml:space="preserve">  </w:t>
      </w:r>
      <w:r>
        <w:rPr>
          <w:rFonts w:hint="eastAsia" w:asciiTheme="minorEastAsia" w:hAnsiTheme="minorEastAsia" w:eastAsiaTheme="minorEastAsia" w:cstheme="minorEastAsia"/>
          <w:color w:val="000000"/>
          <w:kern w:val="0"/>
          <w:sz w:val="20"/>
          <w:szCs w:val="20"/>
        </w:rPr>
        <w:t>公开07表</w:t>
      </w:r>
    </w:p>
    <w:p>
      <w:pPr>
        <w:widowControl/>
        <w:ind w:right="420"/>
        <w:jc w:val="right"/>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lang w:eastAsia="zh-CN"/>
        </w:rPr>
        <w:t>部门：湖南省环境保护科学研究院</w:t>
      </w:r>
      <w:r>
        <w:rPr>
          <w:rFonts w:hint="eastAsia" w:asciiTheme="minorEastAsia" w:hAnsiTheme="minorEastAsia" w:eastAsiaTheme="minorEastAsia" w:cstheme="minorEastAsia"/>
          <w:color w:val="000000"/>
          <w:kern w:val="0"/>
          <w:sz w:val="20"/>
          <w:szCs w:val="20"/>
          <w:lang w:val="en-US" w:eastAsia="zh-CN"/>
        </w:rPr>
        <w:t xml:space="preserve">            </w:t>
      </w:r>
      <w:r>
        <w:rPr>
          <w:rFonts w:hint="eastAsia" w:asciiTheme="minorEastAsia" w:hAnsiTheme="minorEastAsia" w:cstheme="minorEastAsia"/>
          <w:color w:val="000000"/>
          <w:kern w:val="0"/>
          <w:sz w:val="20"/>
          <w:szCs w:val="20"/>
          <w:lang w:val="en-US" w:eastAsia="zh-CN"/>
        </w:rPr>
        <w:t xml:space="preserve">     </w:t>
      </w:r>
      <w:r>
        <w:rPr>
          <w:rFonts w:hint="eastAsia" w:asciiTheme="minorEastAsia" w:hAnsiTheme="minorEastAsia" w:eastAsiaTheme="minorEastAsia" w:cstheme="minorEastAsia"/>
          <w:color w:val="000000"/>
          <w:kern w:val="0"/>
          <w:sz w:val="20"/>
          <w:szCs w:val="20"/>
          <w:lang w:val="en-US" w:eastAsia="zh-CN"/>
        </w:rPr>
        <w:t xml:space="preserve">                        2021年                                                         </w:t>
      </w:r>
      <w:r>
        <w:rPr>
          <w:rFonts w:hint="eastAsia" w:asciiTheme="minorEastAsia" w:hAnsiTheme="minorEastAsia" w:eastAsiaTheme="minorEastAsia" w:cstheme="minorEastAsia"/>
          <w:color w:val="000000"/>
          <w:kern w:val="0"/>
          <w:sz w:val="20"/>
          <w:szCs w:val="20"/>
        </w:rPr>
        <w:t>单位：万元</w:t>
      </w:r>
    </w:p>
    <w:tbl>
      <w:tblPr>
        <w:tblStyle w:val="6"/>
        <w:tblW w:w="14640" w:type="dxa"/>
        <w:jc w:val="center"/>
        <w:tblLayout w:type="autofit"/>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tblPrEx>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决算数</w:t>
            </w:r>
          </w:p>
        </w:tc>
      </w:tr>
      <w:tr>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公务</w:t>
            </w:r>
          </w:p>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公务</w:t>
            </w:r>
          </w:p>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接待费</w:t>
            </w:r>
          </w:p>
        </w:tc>
      </w:tr>
      <w:tr>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20"/>
                <w:szCs w:val="20"/>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20"/>
                <w:szCs w:val="20"/>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lang w:eastAsia="zh-CN"/>
              </w:rPr>
            </w:pPr>
            <w:r>
              <w:rPr>
                <w:rFonts w:hint="eastAsia" w:asciiTheme="minorEastAsia" w:hAnsiTheme="minorEastAsia" w:eastAsiaTheme="minorEastAsia" w:cstheme="minorEastAsia"/>
                <w:kern w:val="0"/>
                <w:sz w:val="20"/>
                <w:szCs w:val="20"/>
              </w:rPr>
              <w:t>公务用车</w:t>
            </w:r>
          </w:p>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lang w:eastAsia="zh-CN"/>
              </w:rPr>
            </w:pPr>
            <w:r>
              <w:rPr>
                <w:rFonts w:hint="eastAsia" w:asciiTheme="minorEastAsia" w:hAnsiTheme="minorEastAsia" w:eastAsiaTheme="minorEastAsia" w:cstheme="minorEastAsia"/>
                <w:kern w:val="0"/>
                <w:sz w:val="20"/>
                <w:szCs w:val="20"/>
              </w:rPr>
              <w:t>公务用车</w:t>
            </w:r>
          </w:p>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运行费</w:t>
            </w: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20"/>
                <w:szCs w:val="20"/>
              </w:rPr>
            </w:pPr>
          </w:p>
        </w:tc>
        <w:tc>
          <w:tcPr>
            <w:tcW w:w="1220" w:type="dxa"/>
            <w:vMerge w:val="continue"/>
            <w:tcBorders>
              <w:top w:val="nil"/>
              <w:left w:val="nil"/>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20"/>
                <w:szCs w:val="20"/>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20"/>
                <w:szCs w:val="20"/>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lang w:eastAsia="zh-CN"/>
              </w:rPr>
            </w:pPr>
            <w:r>
              <w:rPr>
                <w:rFonts w:hint="eastAsia" w:asciiTheme="minorEastAsia" w:hAnsiTheme="minorEastAsia" w:eastAsiaTheme="minorEastAsia" w:cstheme="minorEastAsia"/>
                <w:kern w:val="0"/>
                <w:sz w:val="20"/>
                <w:szCs w:val="20"/>
              </w:rPr>
              <w:t>公务用车</w:t>
            </w:r>
          </w:p>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lang w:eastAsia="zh-CN"/>
              </w:rPr>
            </w:pPr>
            <w:r>
              <w:rPr>
                <w:rFonts w:hint="eastAsia" w:asciiTheme="minorEastAsia" w:hAnsiTheme="minorEastAsia" w:eastAsiaTheme="minorEastAsia" w:cstheme="minorEastAsia"/>
                <w:kern w:val="0"/>
                <w:sz w:val="20"/>
                <w:szCs w:val="20"/>
              </w:rPr>
              <w:t>公务用车</w:t>
            </w:r>
          </w:p>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运行费</w:t>
            </w:r>
          </w:p>
        </w:tc>
        <w:tc>
          <w:tcPr>
            <w:tcW w:w="1220" w:type="dxa"/>
            <w:vMerge w:val="continue"/>
            <w:tcBorders>
              <w:top w:val="nil"/>
              <w:left w:val="single" w:color="auto" w:sz="4" w:space="0"/>
              <w:bottom w:val="single" w:color="000000" w:sz="4" w:space="0"/>
              <w:right w:val="single" w:color="auto" w:sz="8" w:space="0"/>
            </w:tcBorders>
            <w:vAlign w:val="center"/>
          </w:tcPr>
          <w:p>
            <w:pPr>
              <w:widowControl/>
              <w:jc w:val="lef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5</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6</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11</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12</w:t>
            </w: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pPr>
              <w:widowControl/>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20" w:type="dxa"/>
            <w:tcBorders>
              <w:top w:val="nil"/>
              <w:left w:val="nil"/>
              <w:bottom w:val="single" w:color="auto" w:sz="8" w:space="0"/>
              <w:right w:val="nil"/>
            </w:tcBorders>
            <w:shd w:val="clear" w:color="auto" w:fill="auto"/>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c>
          <w:tcPr>
            <w:tcW w:w="1220" w:type="dxa"/>
            <w:tcBorders>
              <w:top w:val="nil"/>
              <w:left w:val="single" w:color="auto" w:sz="4" w:space="0"/>
              <w:bottom w:val="single" w:color="auto" w:sz="8"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cstheme="minorEastAsia"/>
                <w:kern w:val="0"/>
                <w:sz w:val="20"/>
                <w:szCs w:val="20"/>
                <w:lang w:val="en-US" w:eastAsia="zh-CN"/>
              </w:rPr>
              <w:t>0.00</w:t>
            </w:r>
          </w:p>
        </w:tc>
      </w:tr>
    </w:tbl>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注：本表反映部门本年度“三公”经费支出预决算情况。其中，预算数为“三公”经费全年预算数，反映按规定程序调整后的预算数；决算数是包括当年一般公共预算财政拨款和以前年度结转资金安排的实际支出。说明：</w:t>
      </w:r>
      <w:r>
        <w:rPr>
          <w:rFonts w:hint="eastAsia" w:asciiTheme="minorEastAsia" w:hAnsiTheme="minorEastAsia" w:cstheme="minorEastAsia"/>
          <w:kern w:val="0"/>
          <w:sz w:val="20"/>
          <w:szCs w:val="20"/>
          <w:lang w:eastAsia="zh-CN"/>
        </w:rPr>
        <w:t>本</w:t>
      </w:r>
      <w:r>
        <w:rPr>
          <w:rFonts w:hint="eastAsia" w:asciiTheme="minorEastAsia" w:hAnsiTheme="minorEastAsia" w:eastAsiaTheme="minorEastAsia" w:cstheme="minorEastAsia"/>
          <w:kern w:val="0"/>
          <w:sz w:val="20"/>
          <w:szCs w:val="20"/>
        </w:rPr>
        <w:t>单位没有</w:t>
      </w:r>
      <w:r>
        <w:rPr>
          <w:rFonts w:hint="eastAsia" w:asciiTheme="minorEastAsia" w:hAnsiTheme="minorEastAsia" w:cstheme="minorEastAsia"/>
          <w:kern w:val="0"/>
          <w:sz w:val="20"/>
          <w:szCs w:val="20"/>
          <w:lang w:eastAsia="zh-CN"/>
        </w:rPr>
        <w:t>一般公共预算财政拨款</w:t>
      </w:r>
      <w:r>
        <w:rPr>
          <w:rFonts w:hint="eastAsia" w:asciiTheme="minorEastAsia" w:hAnsiTheme="minorEastAsia" w:eastAsiaTheme="minorEastAsia" w:cstheme="minorEastAsia"/>
          <w:kern w:val="0"/>
          <w:sz w:val="20"/>
          <w:szCs w:val="20"/>
        </w:rPr>
        <w:t>安排的</w:t>
      </w:r>
      <w:r>
        <w:rPr>
          <w:rFonts w:hint="eastAsia" w:asciiTheme="minorEastAsia" w:hAnsiTheme="minorEastAsia" w:cstheme="minorEastAsia"/>
          <w:kern w:val="0"/>
          <w:sz w:val="20"/>
          <w:szCs w:val="20"/>
          <w:lang w:eastAsia="zh-CN"/>
        </w:rPr>
        <w:t>“三公”经费</w:t>
      </w:r>
      <w:r>
        <w:rPr>
          <w:rFonts w:hint="eastAsia" w:asciiTheme="minorEastAsia" w:hAnsiTheme="minorEastAsia" w:eastAsiaTheme="minorEastAsia" w:cstheme="minorEastAsia"/>
          <w:kern w:val="0"/>
          <w:sz w:val="20"/>
          <w:szCs w:val="20"/>
        </w:rPr>
        <w:t>支出，故本表无数据。</w:t>
      </w:r>
    </w:p>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br w:type="page"/>
      </w:r>
    </w:p>
    <w:p>
      <w:pPr>
        <w:autoSpaceDE w:val="0"/>
        <w:autoSpaceDN w:val="0"/>
        <w:adjustRightInd w:val="0"/>
        <w:ind w:left="315" w:leftChars="150"/>
        <w:jc w:val="left"/>
        <w:rPr>
          <w:rFonts w:ascii="宋体" w:eastAsia="宋体" w:cs="宋体"/>
          <w:kern w:val="0"/>
          <w:sz w:val="24"/>
          <w:szCs w:val="24"/>
        </w:rPr>
      </w:pPr>
    </w:p>
    <w:p>
      <w:pPr>
        <w:widowControl/>
        <w:jc w:val="center"/>
        <w:rPr>
          <w:rFonts w:hint="eastAsia"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政府性基金预算财政拨款收入支出决算表</w:t>
      </w:r>
    </w:p>
    <w:p>
      <w:pPr>
        <w:widowControl/>
        <w:wordWrap/>
        <w:jc w:val="left"/>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 xml:space="preserve">                                                                                                            </w:t>
      </w:r>
      <w:r>
        <w:rPr>
          <w:rFonts w:hint="eastAsia" w:asciiTheme="minorEastAsia" w:hAnsiTheme="minorEastAsia" w:cstheme="minorEastAsia"/>
          <w:color w:val="000000"/>
          <w:kern w:val="0"/>
          <w:sz w:val="20"/>
          <w:szCs w:val="20"/>
          <w:lang w:val="en-US" w:eastAsia="zh-CN"/>
        </w:rPr>
        <w:t xml:space="preserve">                              </w:t>
      </w:r>
      <w:r>
        <w:rPr>
          <w:rFonts w:hint="eastAsia" w:asciiTheme="minorEastAsia" w:hAnsiTheme="minorEastAsia" w:eastAsiaTheme="minorEastAsia" w:cstheme="minorEastAsia"/>
          <w:color w:val="000000"/>
          <w:kern w:val="0"/>
          <w:sz w:val="20"/>
          <w:szCs w:val="20"/>
        </w:rPr>
        <w:t xml:space="preserve">  公开08表</w:t>
      </w:r>
    </w:p>
    <w:p>
      <w:pPr>
        <w:widowControl/>
        <w:ind w:firstLine="400" w:firstLineChars="200"/>
        <w:jc w:val="left"/>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 xml:space="preserve">部门： </w:t>
      </w:r>
      <w:r>
        <w:rPr>
          <w:rFonts w:hint="eastAsia" w:asciiTheme="minorEastAsia" w:hAnsiTheme="minorEastAsia" w:cstheme="minorEastAsia"/>
          <w:color w:val="000000"/>
          <w:kern w:val="0"/>
          <w:sz w:val="20"/>
          <w:szCs w:val="20"/>
          <w:lang w:eastAsia="zh-CN"/>
        </w:rPr>
        <w:t>湖南省环境保护科学研究院</w:t>
      </w:r>
      <w:r>
        <w:rPr>
          <w:rFonts w:hint="eastAsia" w:asciiTheme="minorEastAsia" w:hAnsiTheme="minorEastAsia" w:cstheme="minorEastAsia"/>
          <w:color w:val="000000"/>
          <w:kern w:val="0"/>
          <w:sz w:val="20"/>
          <w:szCs w:val="20"/>
          <w:lang w:val="en-US" w:eastAsia="zh-CN"/>
        </w:rPr>
        <w:t xml:space="preserve">                                        2021年                                                          </w:t>
      </w:r>
      <w:r>
        <w:rPr>
          <w:rFonts w:hint="eastAsia" w:asciiTheme="minorEastAsia" w:hAnsiTheme="minorEastAsia" w:eastAsiaTheme="minorEastAsia" w:cstheme="minorEastAsia"/>
          <w:color w:val="000000"/>
          <w:kern w:val="0"/>
          <w:sz w:val="20"/>
          <w:szCs w:val="20"/>
        </w:rPr>
        <w:t>单位：万元</w:t>
      </w:r>
    </w:p>
    <w:tbl>
      <w:tblPr>
        <w:tblStyle w:val="6"/>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20"/>
        <w:gridCol w:w="1320"/>
        <w:gridCol w:w="2000"/>
        <w:gridCol w:w="2000"/>
        <w:gridCol w:w="2000"/>
        <w:gridCol w:w="2000"/>
        <w:gridCol w:w="2000"/>
        <w:gridCol w:w="20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hint="eastAsia" w:asciiTheme="minorEastAsia" w:hAnsiTheme="minorEastAsia" w:eastAsiaTheme="minorEastAsia" w:cstheme="minorEastAsia"/>
                <w:b/>
                <w:kern w:val="0"/>
                <w:sz w:val="20"/>
                <w:szCs w:val="20"/>
              </w:rPr>
            </w:pPr>
            <w:r>
              <w:rPr>
                <w:rFonts w:hint="eastAsia" w:asciiTheme="minorEastAsia" w:hAnsiTheme="minorEastAsia" w:eastAsiaTheme="minorEastAsia" w:cstheme="minorEastAsia"/>
                <w:b/>
                <w:kern w:val="0"/>
                <w:sz w:val="20"/>
                <w:szCs w:val="20"/>
              </w:rPr>
              <w:t xml:space="preserve">项 </w:t>
            </w:r>
            <w:r>
              <w:rPr>
                <w:rFonts w:hint="eastAsia" w:asciiTheme="minorEastAsia" w:hAnsiTheme="minorEastAsia" w:eastAsiaTheme="minorEastAsia" w:cstheme="minorEastAsia"/>
                <w:b/>
                <w:color w:val="000000"/>
                <w:kern w:val="0"/>
                <w:sz w:val="20"/>
                <w:szCs w:val="20"/>
              </w:rPr>
              <w:t xml:space="preserve">   </w:t>
            </w:r>
            <w:r>
              <w:rPr>
                <w:rFonts w:hint="eastAsia" w:asciiTheme="minorEastAsia" w:hAnsiTheme="minorEastAsia" w:eastAsiaTheme="minorEastAsia" w:cstheme="minorEastAsia"/>
                <w:b/>
                <w:kern w:val="0"/>
                <w:sz w:val="20"/>
                <w:szCs w:val="20"/>
              </w:rPr>
              <w:t>目</w:t>
            </w:r>
          </w:p>
        </w:tc>
        <w:tc>
          <w:tcPr>
            <w:tcW w:w="2000" w:type="dxa"/>
            <w:vMerge w:val="restart"/>
            <w:shd w:val="clear" w:color="auto" w:fill="auto"/>
            <w:vAlign w:val="center"/>
          </w:tcPr>
          <w:p>
            <w:pPr>
              <w:widowControl/>
              <w:jc w:val="center"/>
              <w:rPr>
                <w:rFonts w:hint="eastAsia" w:asciiTheme="minorEastAsia" w:hAnsiTheme="minorEastAsia" w:eastAsiaTheme="minorEastAsia" w:cstheme="minorEastAsia"/>
                <w:b/>
                <w:kern w:val="0"/>
                <w:sz w:val="20"/>
                <w:szCs w:val="20"/>
              </w:rPr>
            </w:pPr>
            <w:r>
              <w:rPr>
                <w:rFonts w:hint="eastAsia" w:asciiTheme="minorEastAsia" w:hAnsiTheme="minorEastAsia" w:eastAsiaTheme="minorEastAsia" w:cstheme="minorEastAsia"/>
                <w:b/>
                <w:kern w:val="0"/>
                <w:sz w:val="20"/>
                <w:szCs w:val="20"/>
              </w:rPr>
              <w:t>年初结转和结余</w:t>
            </w:r>
          </w:p>
        </w:tc>
        <w:tc>
          <w:tcPr>
            <w:tcW w:w="2000" w:type="dxa"/>
            <w:vMerge w:val="restart"/>
            <w:shd w:val="clear" w:color="auto" w:fill="auto"/>
            <w:vAlign w:val="center"/>
          </w:tcPr>
          <w:p>
            <w:pPr>
              <w:widowControl/>
              <w:jc w:val="center"/>
              <w:rPr>
                <w:rFonts w:hint="eastAsia" w:asciiTheme="minorEastAsia" w:hAnsiTheme="minorEastAsia" w:eastAsiaTheme="minorEastAsia" w:cstheme="minorEastAsia"/>
                <w:b/>
                <w:kern w:val="0"/>
                <w:sz w:val="20"/>
                <w:szCs w:val="20"/>
              </w:rPr>
            </w:pPr>
            <w:r>
              <w:rPr>
                <w:rFonts w:hint="eastAsia" w:asciiTheme="minorEastAsia" w:hAnsiTheme="minorEastAsia" w:eastAsiaTheme="minorEastAsia" w:cstheme="minorEastAsia"/>
                <w:b/>
                <w:kern w:val="0"/>
                <w:sz w:val="20"/>
                <w:szCs w:val="20"/>
              </w:rPr>
              <w:t>本年收入</w:t>
            </w:r>
          </w:p>
        </w:tc>
        <w:tc>
          <w:tcPr>
            <w:tcW w:w="6000" w:type="dxa"/>
            <w:gridSpan w:val="3"/>
            <w:shd w:val="clear" w:color="auto" w:fill="auto"/>
            <w:vAlign w:val="center"/>
          </w:tcPr>
          <w:p>
            <w:pPr>
              <w:widowControl/>
              <w:jc w:val="center"/>
              <w:rPr>
                <w:rFonts w:hint="eastAsia" w:asciiTheme="minorEastAsia" w:hAnsiTheme="minorEastAsia" w:eastAsiaTheme="minorEastAsia" w:cstheme="minorEastAsia"/>
                <w:b/>
                <w:kern w:val="0"/>
                <w:sz w:val="20"/>
                <w:szCs w:val="20"/>
              </w:rPr>
            </w:pPr>
            <w:r>
              <w:rPr>
                <w:rFonts w:hint="eastAsia" w:asciiTheme="minorEastAsia" w:hAnsiTheme="minorEastAsia" w:eastAsiaTheme="minorEastAsia" w:cstheme="minorEastAsia"/>
                <w:b/>
                <w:kern w:val="0"/>
                <w:sz w:val="20"/>
                <w:szCs w:val="20"/>
              </w:rPr>
              <w:t>本年支出</w:t>
            </w:r>
          </w:p>
        </w:tc>
        <w:tc>
          <w:tcPr>
            <w:tcW w:w="2000" w:type="dxa"/>
            <w:vMerge w:val="restart"/>
            <w:shd w:val="clear" w:color="auto" w:fill="auto"/>
            <w:vAlign w:val="center"/>
          </w:tcPr>
          <w:p>
            <w:pPr>
              <w:widowControl/>
              <w:jc w:val="center"/>
              <w:rPr>
                <w:rFonts w:hint="eastAsia" w:asciiTheme="minorEastAsia" w:hAnsiTheme="minorEastAsia" w:eastAsiaTheme="minorEastAsia" w:cstheme="minorEastAsia"/>
                <w:b/>
                <w:kern w:val="0"/>
                <w:sz w:val="20"/>
                <w:szCs w:val="20"/>
              </w:rPr>
            </w:pPr>
            <w:r>
              <w:rPr>
                <w:rFonts w:hint="eastAsia" w:asciiTheme="minorEastAsia" w:hAnsiTheme="minorEastAsia" w:eastAsiaTheme="minorEastAsia" w:cstheme="minorEastAsia"/>
                <w:b/>
                <w:kern w:val="0"/>
                <w:sz w:val="20"/>
                <w:szCs w:val="20"/>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pPr>
              <w:widowControl/>
              <w:jc w:val="center"/>
              <w:rPr>
                <w:rFonts w:hint="eastAsia" w:asciiTheme="minorEastAsia" w:hAnsiTheme="minorEastAsia" w:eastAsiaTheme="minorEastAsia" w:cstheme="minorEastAsia"/>
                <w:b/>
                <w:kern w:val="0"/>
                <w:sz w:val="20"/>
                <w:szCs w:val="20"/>
              </w:rPr>
            </w:pPr>
            <w:r>
              <w:rPr>
                <w:rFonts w:hint="eastAsia" w:asciiTheme="minorEastAsia" w:hAnsiTheme="minorEastAsia" w:eastAsiaTheme="minorEastAsia" w:cstheme="minorEastAsia"/>
                <w:b/>
                <w:kern w:val="0"/>
                <w:sz w:val="20"/>
                <w:szCs w:val="20"/>
              </w:rPr>
              <w:t>功能分类科目编码</w:t>
            </w:r>
          </w:p>
        </w:tc>
        <w:tc>
          <w:tcPr>
            <w:tcW w:w="1320" w:type="dxa"/>
            <w:vMerge w:val="restart"/>
            <w:shd w:val="clear" w:color="auto" w:fill="auto"/>
            <w:vAlign w:val="center"/>
          </w:tcPr>
          <w:p>
            <w:pPr>
              <w:widowControl/>
              <w:jc w:val="center"/>
              <w:rPr>
                <w:rFonts w:hint="eastAsia" w:asciiTheme="minorEastAsia" w:hAnsiTheme="minorEastAsia" w:eastAsiaTheme="minorEastAsia" w:cstheme="minorEastAsia"/>
                <w:b/>
                <w:kern w:val="0"/>
                <w:sz w:val="20"/>
                <w:szCs w:val="20"/>
              </w:rPr>
            </w:pPr>
            <w:r>
              <w:rPr>
                <w:rFonts w:hint="eastAsia" w:asciiTheme="minorEastAsia" w:hAnsiTheme="minorEastAsia" w:eastAsiaTheme="minorEastAsia" w:cstheme="minorEastAsia"/>
                <w:b/>
                <w:kern w:val="0"/>
                <w:sz w:val="20"/>
                <w:szCs w:val="20"/>
              </w:rPr>
              <w:t>科目名称</w:t>
            </w:r>
          </w:p>
        </w:tc>
        <w:tc>
          <w:tcPr>
            <w:tcW w:w="2000" w:type="dxa"/>
            <w:vMerge w:val="continue"/>
            <w:vAlign w:val="center"/>
          </w:tcPr>
          <w:p>
            <w:pPr>
              <w:widowControl/>
              <w:jc w:val="left"/>
              <w:rPr>
                <w:rFonts w:hint="eastAsia" w:asciiTheme="minorEastAsia" w:hAnsiTheme="minorEastAsia" w:eastAsiaTheme="minorEastAsia" w:cstheme="minorEastAsia"/>
                <w:b/>
                <w:kern w:val="0"/>
                <w:sz w:val="20"/>
                <w:szCs w:val="20"/>
              </w:rPr>
            </w:pPr>
          </w:p>
        </w:tc>
        <w:tc>
          <w:tcPr>
            <w:tcW w:w="2000" w:type="dxa"/>
            <w:vMerge w:val="continue"/>
            <w:vAlign w:val="center"/>
          </w:tcPr>
          <w:p>
            <w:pPr>
              <w:widowControl/>
              <w:jc w:val="left"/>
              <w:rPr>
                <w:rFonts w:hint="eastAsia" w:asciiTheme="minorEastAsia" w:hAnsiTheme="minorEastAsia" w:eastAsiaTheme="minorEastAsia" w:cstheme="minorEastAsia"/>
                <w:b/>
                <w:kern w:val="0"/>
                <w:sz w:val="20"/>
                <w:szCs w:val="20"/>
              </w:rPr>
            </w:pPr>
          </w:p>
        </w:tc>
        <w:tc>
          <w:tcPr>
            <w:tcW w:w="2000" w:type="dxa"/>
            <w:vMerge w:val="restart"/>
            <w:shd w:val="clear" w:color="auto" w:fill="auto"/>
            <w:vAlign w:val="center"/>
          </w:tcPr>
          <w:p>
            <w:pPr>
              <w:widowControl/>
              <w:jc w:val="center"/>
              <w:rPr>
                <w:rFonts w:hint="eastAsia" w:asciiTheme="minorEastAsia" w:hAnsiTheme="minorEastAsia" w:eastAsiaTheme="minorEastAsia" w:cstheme="minorEastAsia"/>
                <w:b/>
                <w:kern w:val="0"/>
                <w:sz w:val="20"/>
                <w:szCs w:val="20"/>
              </w:rPr>
            </w:pPr>
            <w:r>
              <w:rPr>
                <w:rFonts w:hint="eastAsia" w:asciiTheme="minorEastAsia" w:hAnsiTheme="minorEastAsia" w:eastAsiaTheme="minorEastAsia" w:cstheme="minorEastAsia"/>
                <w:b/>
                <w:kern w:val="0"/>
                <w:sz w:val="20"/>
                <w:szCs w:val="20"/>
              </w:rPr>
              <w:t>小计</w:t>
            </w:r>
          </w:p>
        </w:tc>
        <w:tc>
          <w:tcPr>
            <w:tcW w:w="2000" w:type="dxa"/>
            <w:vMerge w:val="restart"/>
            <w:shd w:val="clear" w:color="auto" w:fill="auto"/>
            <w:vAlign w:val="center"/>
          </w:tcPr>
          <w:p>
            <w:pPr>
              <w:widowControl/>
              <w:jc w:val="center"/>
              <w:rPr>
                <w:rFonts w:hint="eastAsia" w:asciiTheme="minorEastAsia" w:hAnsiTheme="minorEastAsia" w:eastAsiaTheme="minorEastAsia" w:cstheme="minorEastAsia"/>
                <w:b/>
                <w:kern w:val="0"/>
                <w:sz w:val="20"/>
                <w:szCs w:val="20"/>
              </w:rPr>
            </w:pPr>
            <w:r>
              <w:rPr>
                <w:rFonts w:hint="eastAsia" w:asciiTheme="minorEastAsia" w:hAnsiTheme="minorEastAsia" w:eastAsiaTheme="minorEastAsia" w:cstheme="minorEastAsia"/>
                <w:b/>
                <w:kern w:val="0"/>
                <w:sz w:val="20"/>
                <w:szCs w:val="20"/>
              </w:rPr>
              <w:t xml:space="preserve">基本支出  </w:t>
            </w:r>
          </w:p>
        </w:tc>
        <w:tc>
          <w:tcPr>
            <w:tcW w:w="2000" w:type="dxa"/>
            <w:vMerge w:val="restart"/>
            <w:shd w:val="clear" w:color="auto" w:fill="auto"/>
            <w:vAlign w:val="center"/>
          </w:tcPr>
          <w:p>
            <w:pPr>
              <w:widowControl/>
              <w:jc w:val="center"/>
              <w:rPr>
                <w:rFonts w:hint="eastAsia" w:asciiTheme="minorEastAsia" w:hAnsiTheme="minorEastAsia" w:eastAsiaTheme="minorEastAsia" w:cstheme="minorEastAsia"/>
                <w:b/>
                <w:kern w:val="0"/>
                <w:sz w:val="20"/>
                <w:szCs w:val="20"/>
              </w:rPr>
            </w:pPr>
            <w:r>
              <w:rPr>
                <w:rFonts w:hint="eastAsia" w:asciiTheme="minorEastAsia" w:hAnsiTheme="minorEastAsia" w:eastAsiaTheme="minorEastAsia" w:cstheme="minorEastAsia"/>
                <w:b/>
                <w:kern w:val="0"/>
                <w:sz w:val="20"/>
                <w:szCs w:val="20"/>
              </w:rPr>
              <w:t>项目支出</w:t>
            </w:r>
          </w:p>
        </w:tc>
        <w:tc>
          <w:tcPr>
            <w:tcW w:w="2000" w:type="dxa"/>
            <w:vMerge w:val="continue"/>
            <w:vAlign w:val="center"/>
          </w:tcPr>
          <w:p>
            <w:pPr>
              <w:widowControl/>
              <w:jc w:val="left"/>
              <w:rPr>
                <w:rFonts w:hint="eastAsia" w:asciiTheme="minorEastAsia" w:hAnsiTheme="minorEastAsia" w:eastAsiaTheme="minorEastAsia" w:cstheme="minorEastAsia"/>
                <w:b/>
                <w:kern w:val="0"/>
                <w:sz w:val="20"/>
                <w:szCs w:val="2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hint="eastAsia" w:asciiTheme="minorEastAsia" w:hAnsiTheme="minorEastAsia" w:eastAsiaTheme="minorEastAsia" w:cstheme="minorEastAsia"/>
                <w:kern w:val="0"/>
                <w:sz w:val="20"/>
                <w:szCs w:val="20"/>
              </w:rPr>
            </w:pPr>
          </w:p>
        </w:tc>
        <w:tc>
          <w:tcPr>
            <w:tcW w:w="1320" w:type="dxa"/>
            <w:vMerge w:val="continue"/>
            <w:vAlign w:val="center"/>
          </w:tcPr>
          <w:p>
            <w:pPr>
              <w:widowControl/>
              <w:jc w:val="left"/>
              <w:rPr>
                <w:rFonts w:hint="eastAsia" w:asciiTheme="minorEastAsia" w:hAnsiTheme="minorEastAsia" w:eastAsiaTheme="minorEastAsia" w:cstheme="minorEastAsia"/>
                <w:kern w:val="0"/>
                <w:sz w:val="20"/>
                <w:szCs w:val="20"/>
              </w:rPr>
            </w:pPr>
          </w:p>
        </w:tc>
        <w:tc>
          <w:tcPr>
            <w:tcW w:w="2000" w:type="dxa"/>
            <w:vMerge w:val="continue"/>
            <w:vAlign w:val="center"/>
          </w:tcPr>
          <w:p>
            <w:pPr>
              <w:widowControl/>
              <w:jc w:val="left"/>
              <w:rPr>
                <w:rFonts w:hint="eastAsia" w:asciiTheme="minorEastAsia" w:hAnsiTheme="minorEastAsia" w:eastAsiaTheme="minorEastAsia" w:cstheme="minorEastAsia"/>
                <w:kern w:val="0"/>
                <w:sz w:val="20"/>
                <w:szCs w:val="20"/>
              </w:rPr>
            </w:pPr>
          </w:p>
        </w:tc>
        <w:tc>
          <w:tcPr>
            <w:tcW w:w="2000" w:type="dxa"/>
            <w:vMerge w:val="continue"/>
            <w:vAlign w:val="center"/>
          </w:tcPr>
          <w:p>
            <w:pPr>
              <w:widowControl/>
              <w:jc w:val="left"/>
              <w:rPr>
                <w:rFonts w:hint="eastAsia" w:asciiTheme="minorEastAsia" w:hAnsiTheme="minorEastAsia" w:eastAsiaTheme="minorEastAsia" w:cstheme="minorEastAsia"/>
                <w:kern w:val="0"/>
                <w:sz w:val="20"/>
                <w:szCs w:val="20"/>
              </w:rPr>
            </w:pPr>
          </w:p>
        </w:tc>
        <w:tc>
          <w:tcPr>
            <w:tcW w:w="2000" w:type="dxa"/>
            <w:vMerge w:val="continue"/>
            <w:vAlign w:val="center"/>
          </w:tcPr>
          <w:p>
            <w:pPr>
              <w:widowControl/>
              <w:jc w:val="left"/>
              <w:rPr>
                <w:rFonts w:hint="eastAsia" w:asciiTheme="minorEastAsia" w:hAnsiTheme="minorEastAsia" w:eastAsiaTheme="minorEastAsia" w:cstheme="minorEastAsia"/>
                <w:kern w:val="0"/>
                <w:sz w:val="20"/>
                <w:szCs w:val="20"/>
              </w:rPr>
            </w:pPr>
          </w:p>
        </w:tc>
        <w:tc>
          <w:tcPr>
            <w:tcW w:w="2000" w:type="dxa"/>
            <w:vMerge w:val="continue"/>
            <w:vAlign w:val="center"/>
          </w:tcPr>
          <w:p>
            <w:pPr>
              <w:widowControl/>
              <w:jc w:val="left"/>
              <w:rPr>
                <w:rFonts w:hint="eastAsia" w:asciiTheme="minorEastAsia" w:hAnsiTheme="minorEastAsia" w:eastAsiaTheme="minorEastAsia" w:cstheme="minorEastAsia"/>
                <w:kern w:val="0"/>
                <w:sz w:val="20"/>
                <w:szCs w:val="20"/>
              </w:rPr>
            </w:pPr>
          </w:p>
        </w:tc>
        <w:tc>
          <w:tcPr>
            <w:tcW w:w="2000" w:type="dxa"/>
            <w:vMerge w:val="continue"/>
            <w:vAlign w:val="center"/>
          </w:tcPr>
          <w:p>
            <w:pPr>
              <w:widowControl/>
              <w:jc w:val="left"/>
              <w:rPr>
                <w:rFonts w:hint="eastAsia" w:asciiTheme="minorEastAsia" w:hAnsiTheme="minorEastAsia" w:eastAsiaTheme="minorEastAsia" w:cstheme="minorEastAsia"/>
                <w:kern w:val="0"/>
                <w:sz w:val="20"/>
                <w:szCs w:val="20"/>
              </w:rPr>
            </w:pPr>
          </w:p>
        </w:tc>
        <w:tc>
          <w:tcPr>
            <w:tcW w:w="2000" w:type="dxa"/>
            <w:vMerge w:val="continue"/>
            <w:vAlign w:val="center"/>
          </w:tcPr>
          <w:p>
            <w:pPr>
              <w:widowControl/>
              <w:jc w:val="left"/>
              <w:rPr>
                <w:rFonts w:hint="eastAsia" w:asciiTheme="minorEastAsia" w:hAnsiTheme="minorEastAsia" w:eastAsiaTheme="minorEastAsia" w:cstheme="minorEastAsia"/>
                <w:kern w:val="0"/>
                <w:sz w:val="20"/>
                <w:szCs w:val="2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hint="eastAsia" w:asciiTheme="minorEastAsia" w:hAnsiTheme="minorEastAsia" w:eastAsiaTheme="minorEastAsia" w:cstheme="minorEastAsia"/>
                <w:kern w:val="0"/>
                <w:sz w:val="20"/>
                <w:szCs w:val="20"/>
              </w:rPr>
            </w:pPr>
          </w:p>
        </w:tc>
        <w:tc>
          <w:tcPr>
            <w:tcW w:w="1320" w:type="dxa"/>
            <w:vMerge w:val="continue"/>
            <w:vAlign w:val="center"/>
          </w:tcPr>
          <w:p>
            <w:pPr>
              <w:widowControl/>
              <w:jc w:val="left"/>
              <w:rPr>
                <w:rFonts w:hint="eastAsia" w:asciiTheme="minorEastAsia" w:hAnsiTheme="minorEastAsia" w:eastAsiaTheme="minorEastAsia" w:cstheme="minorEastAsia"/>
                <w:kern w:val="0"/>
                <w:sz w:val="20"/>
                <w:szCs w:val="20"/>
              </w:rPr>
            </w:pPr>
          </w:p>
        </w:tc>
        <w:tc>
          <w:tcPr>
            <w:tcW w:w="2000" w:type="dxa"/>
            <w:vMerge w:val="continue"/>
            <w:vAlign w:val="center"/>
          </w:tcPr>
          <w:p>
            <w:pPr>
              <w:widowControl/>
              <w:jc w:val="left"/>
              <w:rPr>
                <w:rFonts w:hint="eastAsia" w:asciiTheme="minorEastAsia" w:hAnsiTheme="minorEastAsia" w:eastAsiaTheme="minorEastAsia" w:cstheme="minorEastAsia"/>
                <w:kern w:val="0"/>
                <w:sz w:val="20"/>
                <w:szCs w:val="20"/>
              </w:rPr>
            </w:pPr>
          </w:p>
        </w:tc>
        <w:tc>
          <w:tcPr>
            <w:tcW w:w="2000" w:type="dxa"/>
            <w:vMerge w:val="continue"/>
            <w:vAlign w:val="center"/>
          </w:tcPr>
          <w:p>
            <w:pPr>
              <w:widowControl/>
              <w:jc w:val="left"/>
              <w:rPr>
                <w:rFonts w:hint="eastAsia" w:asciiTheme="minorEastAsia" w:hAnsiTheme="minorEastAsia" w:eastAsiaTheme="minorEastAsia" w:cstheme="minorEastAsia"/>
                <w:kern w:val="0"/>
                <w:sz w:val="20"/>
                <w:szCs w:val="20"/>
              </w:rPr>
            </w:pPr>
          </w:p>
        </w:tc>
        <w:tc>
          <w:tcPr>
            <w:tcW w:w="2000" w:type="dxa"/>
            <w:vMerge w:val="continue"/>
            <w:vAlign w:val="center"/>
          </w:tcPr>
          <w:p>
            <w:pPr>
              <w:widowControl/>
              <w:jc w:val="left"/>
              <w:rPr>
                <w:rFonts w:hint="eastAsia" w:asciiTheme="minorEastAsia" w:hAnsiTheme="minorEastAsia" w:eastAsiaTheme="minorEastAsia" w:cstheme="minorEastAsia"/>
                <w:kern w:val="0"/>
                <w:sz w:val="20"/>
                <w:szCs w:val="20"/>
              </w:rPr>
            </w:pPr>
          </w:p>
        </w:tc>
        <w:tc>
          <w:tcPr>
            <w:tcW w:w="2000" w:type="dxa"/>
            <w:vMerge w:val="continue"/>
            <w:vAlign w:val="center"/>
          </w:tcPr>
          <w:p>
            <w:pPr>
              <w:widowControl/>
              <w:jc w:val="left"/>
              <w:rPr>
                <w:rFonts w:hint="eastAsia" w:asciiTheme="minorEastAsia" w:hAnsiTheme="minorEastAsia" w:eastAsiaTheme="minorEastAsia" w:cstheme="minorEastAsia"/>
                <w:kern w:val="0"/>
                <w:sz w:val="20"/>
                <w:szCs w:val="20"/>
              </w:rPr>
            </w:pPr>
          </w:p>
        </w:tc>
        <w:tc>
          <w:tcPr>
            <w:tcW w:w="2000" w:type="dxa"/>
            <w:vMerge w:val="continue"/>
            <w:vAlign w:val="center"/>
          </w:tcPr>
          <w:p>
            <w:pPr>
              <w:widowControl/>
              <w:jc w:val="left"/>
              <w:rPr>
                <w:rFonts w:hint="eastAsia" w:asciiTheme="minorEastAsia" w:hAnsiTheme="minorEastAsia" w:eastAsiaTheme="minorEastAsia" w:cstheme="minorEastAsia"/>
                <w:kern w:val="0"/>
                <w:sz w:val="20"/>
                <w:szCs w:val="20"/>
              </w:rPr>
            </w:pPr>
          </w:p>
        </w:tc>
        <w:tc>
          <w:tcPr>
            <w:tcW w:w="2000" w:type="dxa"/>
            <w:vMerge w:val="continue"/>
            <w:vAlign w:val="center"/>
          </w:tcPr>
          <w:p>
            <w:pPr>
              <w:widowControl/>
              <w:jc w:val="left"/>
              <w:rPr>
                <w:rFonts w:hint="eastAsia" w:asciiTheme="minorEastAsia" w:hAnsiTheme="minorEastAsia" w:eastAsiaTheme="minorEastAsia" w:cstheme="minorEastAsia"/>
                <w:kern w:val="0"/>
                <w:sz w:val="20"/>
                <w:szCs w:val="2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栏次</w:t>
            </w:r>
          </w:p>
        </w:tc>
        <w:tc>
          <w:tcPr>
            <w:tcW w:w="2000" w:type="dxa"/>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1</w:t>
            </w:r>
          </w:p>
        </w:tc>
        <w:tc>
          <w:tcPr>
            <w:tcW w:w="2000" w:type="dxa"/>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2</w:t>
            </w:r>
          </w:p>
        </w:tc>
        <w:tc>
          <w:tcPr>
            <w:tcW w:w="2000" w:type="dxa"/>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3</w:t>
            </w:r>
          </w:p>
        </w:tc>
        <w:tc>
          <w:tcPr>
            <w:tcW w:w="2000" w:type="dxa"/>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4</w:t>
            </w:r>
          </w:p>
        </w:tc>
        <w:tc>
          <w:tcPr>
            <w:tcW w:w="2000" w:type="dxa"/>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5</w:t>
            </w:r>
          </w:p>
        </w:tc>
        <w:tc>
          <w:tcPr>
            <w:tcW w:w="2000" w:type="dxa"/>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合计</w:t>
            </w:r>
          </w:p>
        </w:tc>
        <w:tc>
          <w:tcPr>
            <w:tcW w:w="2000" w:type="dxa"/>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c>
          <w:tcPr>
            <w:tcW w:w="2000" w:type="dxa"/>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c>
          <w:tcPr>
            <w:tcW w:w="2000" w:type="dxa"/>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c>
          <w:tcPr>
            <w:tcW w:w="2000" w:type="dxa"/>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c>
          <w:tcPr>
            <w:tcW w:w="2000" w:type="dxa"/>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c>
          <w:tcPr>
            <w:tcW w:w="2000" w:type="dxa"/>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cstheme="minorEastAsia"/>
                <w:kern w:val="0"/>
                <w:sz w:val="20"/>
                <w:szCs w:val="20"/>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132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132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132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132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132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132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2000" w:type="dxa"/>
            <w:shd w:val="clear" w:color="auto" w:fill="auto"/>
            <w:vAlign w:val="center"/>
          </w:tcPr>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r>
    </w:tbl>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注：本表反映部门本年度政府性基金预算财政拨款收入、支出及结转和结余情况</w:t>
      </w:r>
    </w:p>
    <w:p>
      <w:pPr>
        <w:widowControl/>
        <w:jc w:val="lef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说明：</w:t>
      </w:r>
      <w:r>
        <w:rPr>
          <w:rFonts w:hint="eastAsia" w:asciiTheme="minorEastAsia" w:hAnsiTheme="minorEastAsia" w:cstheme="minorEastAsia"/>
          <w:kern w:val="0"/>
          <w:sz w:val="20"/>
          <w:szCs w:val="20"/>
          <w:lang w:eastAsia="zh-CN"/>
        </w:rPr>
        <w:t>本</w:t>
      </w:r>
      <w:r>
        <w:rPr>
          <w:rFonts w:hint="eastAsia" w:asciiTheme="minorEastAsia" w:hAnsiTheme="minorEastAsia" w:eastAsiaTheme="minorEastAsia" w:cstheme="minorEastAsia"/>
          <w:kern w:val="0"/>
          <w:sz w:val="20"/>
          <w:szCs w:val="20"/>
        </w:rPr>
        <w:t>单位没有政府性基金收入，也没有使用政府性基金安排的支出，故本表无数据。</w:t>
      </w:r>
    </w:p>
    <w:p>
      <w:pPr>
        <w:widowControl/>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br w:type="page"/>
      </w:r>
    </w:p>
    <w:tbl>
      <w:tblPr>
        <w:tblStyle w:val="6"/>
        <w:tblW w:w="14190" w:type="dxa"/>
        <w:tblInd w:w="93" w:type="dxa"/>
        <w:tblLayout w:type="autofit"/>
        <w:tblCellMar>
          <w:top w:w="0" w:type="dxa"/>
          <w:left w:w="108" w:type="dxa"/>
          <w:bottom w:w="0" w:type="dxa"/>
          <w:right w:w="108" w:type="dxa"/>
        </w:tblCellMar>
      </w:tblPr>
      <w:tblGrid>
        <w:gridCol w:w="1060"/>
        <w:gridCol w:w="560"/>
        <w:gridCol w:w="1089"/>
        <w:gridCol w:w="2126"/>
        <w:gridCol w:w="1225"/>
        <w:gridCol w:w="1326"/>
        <w:gridCol w:w="1294"/>
        <w:gridCol w:w="1683"/>
        <w:gridCol w:w="3827"/>
      </w:tblGrid>
      <w:tr>
        <w:tblPrEx>
          <w:tblCellMar>
            <w:top w:w="0" w:type="dxa"/>
            <w:left w:w="108" w:type="dxa"/>
            <w:bottom w:w="0" w:type="dxa"/>
            <w:right w:w="108" w:type="dxa"/>
          </w:tblCellMar>
        </w:tblPrEx>
        <w:trPr>
          <w:trHeight w:val="720" w:hRule="atLeast"/>
        </w:trPr>
        <w:tc>
          <w:tcPr>
            <w:tcW w:w="14190" w:type="dxa"/>
            <w:gridSpan w:val="9"/>
            <w:tcBorders>
              <w:top w:val="nil"/>
              <w:left w:val="nil"/>
              <w:bottom w:val="nil"/>
              <w:right w:val="nil"/>
            </w:tcBorders>
            <w:shd w:val="clear" w:color="000000"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215" w:type="dxa"/>
            <w:gridSpan w:val="2"/>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tblPrEx>
          <w:tblCellMar>
            <w:top w:w="0" w:type="dxa"/>
            <w:left w:w="108" w:type="dxa"/>
            <w:bottom w:w="0" w:type="dxa"/>
            <w:right w:w="108" w:type="dxa"/>
          </w:tblCellMar>
        </w:tblPrEx>
        <w:trPr>
          <w:trHeight w:val="349" w:hRule="atLeast"/>
        </w:trPr>
        <w:tc>
          <w:tcPr>
            <w:tcW w:w="4835" w:type="dxa"/>
            <w:gridSpan w:val="4"/>
            <w:tcBorders>
              <w:top w:val="nil"/>
              <w:left w:val="nil"/>
              <w:bottom w:val="nil"/>
              <w:right w:val="nil"/>
            </w:tcBorders>
            <w:shd w:val="clear" w:color="000000" w:fill="FFFFFF"/>
            <w:noWrap/>
            <w:vAlign w:val="center"/>
          </w:tcPr>
          <w:p>
            <w:pPr>
              <w:widowControl/>
              <w:jc w:val="left"/>
              <w:rPr>
                <w:rFonts w:ascii="宋体" w:hAnsi="宋体" w:eastAsia="宋体" w:cs="宋体"/>
                <w:kern w:val="0"/>
                <w:sz w:val="20"/>
                <w:szCs w:val="20"/>
              </w:rPr>
            </w:pPr>
            <w:r>
              <w:rPr>
                <w:rFonts w:hint="eastAsia" w:ascii="宋体" w:hAnsi="宋体" w:eastAsia="宋体" w:cs="宋体"/>
                <w:color w:val="000000"/>
                <w:kern w:val="0"/>
                <w:sz w:val="20"/>
                <w:szCs w:val="20"/>
              </w:rPr>
              <w:t>部门：</w:t>
            </w:r>
            <w:r>
              <w:rPr>
                <w:rFonts w:hint="eastAsia" w:ascii="宋体" w:hAnsi="宋体" w:eastAsia="宋体" w:cs="宋体"/>
                <w:color w:val="000000"/>
                <w:kern w:val="0"/>
                <w:sz w:val="20"/>
                <w:szCs w:val="20"/>
                <w:lang w:eastAsia="zh-CN"/>
              </w:rPr>
              <w:t>湖南省环境保护科学研究院</w:t>
            </w:r>
          </w:p>
        </w:tc>
        <w:tc>
          <w:tcPr>
            <w:tcW w:w="1225" w:type="dxa"/>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single" w:color="auto" w:sz="8" w:space="0"/>
              <w:right w:val="nil"/>
            </w:tcBorders>
            <w:shd w:val="clear" w:color="000000" w:fill="FFFFFF"/>
            <w:vAlign w:val="center"/>
          </w:tcPr>
          <w:p>
            <w:pPr>
              <w:widowControl/>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rPr>
              <w:t>　</w:t>
            </w:r>
            <w:r>
              <w:rPr>
                <w:rFonts w:hint="eastAsia" w:ascii="宋体" w:hAnsi="宋体" w:eastAsia="宋体" w:cs="宋体"/>
                <w:kern w:val="0"/>
                <w:sz w:val="20"/>
                <w:szCs w:val="20"/>
                <w:lang w:val="en-US" w:eastAsia="zh-CN"/>
              </w:rPr>
              <w:t>2021年</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4835" w:type="dxa"/>
            <w:gridSpan w:val="4"/>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项 </w:t>
            </w:r>
            <w:r>
              <w:rPr>
                <w:rFonts w:hint="eastAsia" w:ascii="宋体" w:hAnsi="宋体" w:eastAsia="宋体" w:cs="宋体"/>
                <w:color w:val="000000"/>
                <w:kern w:val="0"/>
                <w:sz w:val="22"/>
              </w:rPr>
              <w:t xml:space="preserve">   </w:t>
            </w:r>
            <w:r>
              <w:rPr>
                <w:rFonts w:hint="eastAsia" w:ascii="宋体" w:hAnsi="宋体" w:eastAsia="宋体" w:cs="宋体"/>
                <w:kern w:val="0"/>
                <w:sz w:val="24"/>
                <w:szCs w:val="24"/>
              </w:rPr>
              <w:t>目</w:t>
            </w:r>
          </w:p>
        </w:tc>
        <w:tc>
          <w:tcPr>
            <w:tcW w:w="9355" w:type="dxa"/>
            <w:gridSpan w:val="5"/>
            <w:tcBorders>
              <w:top w:val="single" w:color="auto" w:sz="8"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tblPrEx>
          <w:tblCellMar>
            <w:top w:w="0" w:type="dxa"/>
            <w:left w:w="108" w:type="dxa"/>
            <w:bottom w:w="0" w:type="dxa"/>
            <w:right w:w="108" w:type="dxa"/>
          </w:tblCellMar>
        </w:tblPrEx>
        <w:trPr>
          <w:trHeight w:val="402" w:hRule="atLeast"/>
        </w:trPr>
        <w:tc>
          <w:tcPr>
            <w:tcW w:w="2709"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55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977"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382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4835" w:type="dxa"/>
            <w:gridSpan w:val="4"/>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tblPrEx>
          <w:tblCellMar>
            <w:top w:w="0" w:type="dxa"/>
            <w:left w:w="108" w:type="dxa"/>
            <w:bottom w:w="0" w:type="dxa"/>
            <w:right w:w="108" w:type="dxa"/>
          </w:tblCellMar>
        </w:tblPrEx>
        <w:trPr>
          <w:trHeight w:val="402" w:hRule="atLeast"/>
        </w:trPr>
        <w:tc>
          <w:tcPr>
            <w:tcW w:w="4835" w:type="dxa"/>
            <w:gridSpan w:val="4"/>
            <w:tcBorders>
              <w:top w:val="nil"/>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0.00</w:t>
            </w: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0.00</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0.00</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720" w:hRule="atLeast"/>
        </w:trPr>
        <w:tc>
          <w:tcPr>
            <w:tcW w:w="14190" w:type="dxa"/>
            <w:gridSpan w:val="9"/>
            <w:tcBorders>
              <w:top w:val="single" w:color="auto" w:sz="8" w:space="0"/>
              <w:left w:val="nil"/>
              <w:bottom w:val="nil"/>
              <w:right w:val="nil"/>
            </w:tcBorders>
            <w:shd w:val="clear" w:color="auto" w:fill="auto"/>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p>
            <w:pPr>
              <w:widowControl/>
              <w:jc w:val="left"/>
              <w:rPr>
                <w:rFonts w:ascii="宋体" w:hAnsi="宋体" w:eastAsia="宋体" w:cs="宋体"/>
                <w:kern w:val="0"/>
                <w:sz w:val="24"/>
                <w:szCs w:val="24"/>
              </w:rPr>
            </w:pPr>
            <w:r>
              <w:rPr>
                <w:rFonts w:hint="eastAsia" w:asciiTheme="minorEastAsia" w:hAnsiTheme="minorEastAsia" w:eastAsiaTheme="minorEastAsia" w:cstheme="minorEastAsia"/>
                <w:kern w:val="0"/>
                <w:sz w:val="20"/>
                <w:szCs w:val="20"/>
              </w:rPr>
              <w:t>说明：</w:t>
            </w:r>
            <w:r>
              <w:rPr>
                <w:rFonts w:hint="eastAsia" w:asciiTheme="minorEastAsia" w:hAnsiTheme="minorEastAsia" w:cstheme="minorEastAsia"/>
                <w:kern w:val="0"/>
                <w:sz w:val="20"/>
                <w:szCs w:val="20"/>
                <w:lang w:eastAsia="zh-CN"/>
              </w:rPr>
              <w:t>本</w:t>
            </w:r>
            <w:r>
              <w:rPr>
                <w:rFonts w:hint="eastAsia" w:asciiTheme="minorEastAsia" w:hAnsiTheme="minorEastAsia" w:eastAsiaTheme="minorEastAsia" w:cstheme="minorEastAsia"/>
                <w:kern w:val="0"/>
                <w:sz w:val="20"/>
                <w:szCs w:val="20"/>
              </w:rPr>
              <w:t>单位没有</w:t>
            </w:r>
            <w:r>
              <w:rPr>
                <w:rFonts w:hint="eastAsia" w:asciiTheme="minorEastAsia" w:hAnsiTheme="minorEastAsia" w:cstheme="minorEastAsia"/>
                <w:kern w:val="0"/>
                <w:sz w:val="20"/>
                <w:szCs w:val="20"/>
                <w:lang w:eastAsia="zh-CN"/>
              </w:rPr>
              <w:t>国有资本经营预算财政拨款</w:t>
            </w:r>
            <w:r>
              <w:rPr>
                <w:rFonts w:hint="eastAsia" w:asciiTheme="minorEastAsia" w:hAnsiTheme="minorEastAsia" w:eastAsiaTheme="minorEastAsia" w:cstheme="minorEastAsia"/>
                <w:kern w:val="0"/>
                <w:sz w:val="20"/>
                <w:szCs w:val="20"/>
              </w:rPr>
              <w:t>安排的支出，故本表无数据。</w:t>
            </w:r>
          </w:p>
        </w:tc>
      </w:tr>
    </w:tbl>
    <w:p>
      <w:pPr>
        <w:pStyle w:val="10"/>
        <w:rPr>
          <w:sz w:val="72"/>
          <w:szCs w:val="72"/>
        </w:rPr>
        <w:sectPr>
          <w:pgSz w:w="16838" w:h="11906" w:orient="landscape"/>
          <w:pgMar w:top="720" w:right="720" w:bottom="720" w:left="720" w:header="851" w:footer="992" w:gutter="0"/>
          <w:pgBorders>
            <w:top w:val="none" w:sz="0" w:space="0"/>
            <w:left w:val="none" w:sz="0" w:space="0"/>
            <w:bottom w:val="none" w:sz="0" w:space="0"/>
            <w:right w:val="none" w:sz="0" w:space="0"/>
          </w:pgBorders>
          <w:cols w:space="425" w:num="1"/>
          <w:docGrid w:type="lines" w:linePitch="312" w:charSpace="0"/>
        </w:sectPr>
      </w:pPr>
    </w:p>
    <w:p>
      <w:pPr>
        <w:pStyle w:val="10"/>
        <w:rPr>
          <w:sz w:val="72"/>
          <w:szCs w:val="72"/>
        </w:rPr>
      </w:pPr>
    </w:p>
    <w:p>
      <w:pPr>
        <w:pStyle w:val="10"/>
        <w:rPr>
          <w:sz w:val="72"/>
          <w:szCs w:val="72"/>
        </w:rPr>
      </w:pPr>
    </w:p>
    <w:p>
      <w:pPr>
        <w:pStyle w:val="10"/>
        <w:rPr>
          <w:sz w:val="72"/>
          <w:szCs w:val="72"/>
        </w:rPr>
      </w:pPr>
    </w:p>
    <w:p>
      <w:pPr>
        <w:pStyle w:val="10"/>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第三部分</w:t>
      </w:r>
    </w:p>
    <w:p>
      <w:pPr>
        <w:pStyle w:val="10"/>
        <w:jc w:val="center"/>
        <w:rPr>
          <w:sz w:val="70"/>
          <w:szCs w:val="70"/>
        </w:rPr>
      </w:pPr>
    </w:p>
    <w:p>
      <w:pPr>
        <w:pStyle w:val="10"/>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10"/>
        <w:rPr>
          <w:rFonts w:asciiTheme="minorEastAsia" w:hAnsiTheme="minorEastAsia" w:eastAsiaTheme="minorEastAsia"/>
          <w:sz w:val="32"/>
          <w:szCs w:val="32"/>
        </w:rPr>
      </w:pPr>
    </w:p>
    <w:p>
      <w:pPr>
        <w:pStyle w:val="10"/>
        <w:ind w:firstLine="640" w:firstLineChars="200"/>
        <w:rPr>
          <w:rFonts w:hAnsi="黑体"/>
          <w:b/>
          <w:sz w:val="32"/>
          <w:szCs w:val="32"/>
        </w:rPr>
      </w:pPr>
      <w:r>
        <w:rPr>
          <w:rFonts w:hint="eastAsia" w:hAnsi="黑体"/>
          <w:b/>
          <w:sz w:val="32"/>
          <w:szCs w:val="32"/>
        </w:rPr>
        <w:t>一、收入支出决算总体情况说明</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2021年度收、支总计14240.7万元。与上年相比，减少480.79万元，减少3.27%，主要是因为本年业务主管部门下达专项任务减少。</w:t>
      </w:r>
    </w:p>
    <w:p>
      <w:pPr>
        <w:pStyle w:val="10"/>
        <w:ind w:firstLine="640" w:firstLineChars="200"/>
        <w:rPr>
          <w:rFonts w:hAnsi="黑体"/>
          <w:b/>
          <w:sz w:val="32"/>
          <w:szCs w:val="32"/>
        </w:rPr>
      </w:pPr>
      <w:r>
        <w:rPr>
          <w:rFonts w:hint="eastAsia" w:hAnsi="黑体"/>
          <w:b/>
          <w:sz w:val="32"/>
          <w:szCs w:val="32"/>
        </w:rPr>
        <w:t>二、收入决算情况说明</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2021年度收入合计12386.56万元，其中：财政拨款收入3404.6万元，占27.49%；上级补助收入0万元，占0%；事业收入8828.78万元，占71.27%；经营收入0万元，占0%；附属单位上缴收入0万元，占0%；其他收入153.19万元，占1.24%。</w:t>
      </w:r>
    </w:p>
    <w:p>
      <w:pPr>
        <w:pStyle w:val="10"/>
        <w:ind w:firstLine="640" w:firstLineChars="200"/>
        <w:rPr>
          <w:rFonts w:hAnsi="黑体"/>
          <w:b/>
          <w:sz w:val="32"/>
          <w:szCs w:val="32"/>
        </w:rPr>
      </w:pPr>
      <w:r>
        <w:rPr>
          <w:rFonts w:hint="eastAsia" w:hAnsi="黑体"/>
          <w:b/>
          <w:sz w:val="32"/>
          <w:szCs w:val="32"/>
        </w:rPr>
        <w:t>三、支出决算情况说明</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2021年度支出合计9736.86万元，其中：基本支出3309.78万元，占33.99%；项目支出6427.08万元，占66.01%；上缴上级支出0万元，占0%；经营支出0万元，占0%；对附属单位补助支出0万元，占0%。</w:t>
      </w:r>
    </w:p>
    <w:p>
      <w:pPr>
        <w:pStyle w:val="10"/>
        <w:ind w:firstLine="640" w:firstLineChars="200"/>
        <w:rPr>
          <w:rFonts w:hAnsi="黑体"/>
          <w:b/>
          <w:sz w:val="32"/>
          <w:szCs w:val="32"/>
        </w:rPr>
      </w:pPr>
      <w:r>
        <w:rPr>
          <w:rFonts w:hint="eastAsia" w:hAnsi="黑体"/>
          <w:b/>
          <w:sz w:val="32"/>
          <w:szCs w:val="32"/>
        </w:rPr>
        <w:t>四、财政拨款收入支出决算总体情况说明</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2021年度财政拨款收、支总计4745.61万元，与上年相比，减少3173.18万元,减少40.07%，主要是因为本年业务主管部门下达专项任务减少。</w:t>
      </w:r>
    </w:p>
    <w:p>
      <w:pPr>
        <w:pStyle w:val="10"/>
        <w:ind w:firstLine="640"/>
        <w:rPr>
          <w:rFonts w:hAnsi="黑体"/>
          <w:b/>
          <w:sz w:val="32"/>
          <w:szCs w:val="32"/>
        </w:rPr>
      </w:pPr>
      <w:r>
        <w:rPr>
          <w:rFonts w:hint="eastAsia" w:hAnsi="黑体"/>
          <w:b/>
          <w:sz w:val="32"/>
          <w:szCs w:val="32"/>
        </w:rPr>
        <w:t>五、一般公共预算财政拨款支出决算情况说明</w:t>
      </w:r>
    </w:p>
    <w:p>
      <w:pPr>
        <w:pStyle w:val="10"/>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2021年度财政拨款支出3598.3万元，占本年支出合计的36.96%，与上年相比，财政拨款支出减少1846.47万元，减少33.91%，主要是因为本年业务主管部门下达专项任务减少，项目支出减少。</w:t>
      </w:r>
    </w:p>
    <w:p>
      <w:pPr>
        <w:pStyle w:val="10"/>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2021年度财政拨款支出3598.3万元，主要用于以下方面：科学技术（类）支出1152.86万元，占32.04%；社会保障和就业（类）支出420.76万元，占11.69%；节能环保（类）支出1875.94万元，占52.13%；住房保障（类）支出148.74万元，占4.13%。</w:t>
      </w:r>
    </w:p>
    <w:p>
      <w:pPr>
        <w:pStyle w:val="10"/>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2021年度财政拨款支出年初预算数为2760.16万元，支出决算数为3598.3万元，完成年初预算的130.37%，其中：</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1、科学技术（类）基础研究（款）自然科学基金（项）</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年初预算为5万元，支出决算为4.41万元，完成年初预算的88.2%，决算数小于年初预算数的主要原因是创新型省份建设专项资金项目为跨年项目，需在2022年支付部分费用。</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2、科学技术（类）应用研究（款）机构运行（项）</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年初预算为850.52万元，支出决算为850.52万元，完成年初预算的100%。</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cstheme="minorBidi"/>
          <w:color w:val="auto"/>
          <w:kern w:val="2"/>
          <w:sz w:val="32"/>
          <w:szCs w:val="32"/>
          <w:lang w:val="en-US" w:eastAsia="zh-CN" w:bidi="ar-SA"/>
        </w:rPr>
        <w:t>3、</w:t>
      </w:r>
      <w:r>
        <w:rPr>
          <w:rFonts w:hint="eastAsia" w:ascii="仿宋_GB2312" w:eastAsia="仿宋_GB2312" w:hAnsiTheme="minorHAnsi" w:cstheme="minorBidi"/>
          <w:color w:val="auto"/>
          <w:kern w:val="2"/>
          <w:sz w:val="32"/>
          <w:szCs w:val="32"/>
          <w:lang w:val="en-US" w:eastAsia="zh-CN" w:bidi="ar-SA"/>
        </w:rPr>
        <w:t>科学技术（类）应用研究（款）社会公益研究（项）</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年初预算为0万元，支出决算为8.75万元，决算数大于年初预算数的主要原因是年中追加财政拨款用于环保科技发展项目支出。</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cstheme="minorBidi"/>
          <w:color w:val="auto"/>
          <w:kern w:val="2"/>
          <w:sz w:val="32"/>
          <w:szCs w:val="32"/>
          <w:lang w:val="en-US" w:eastAsia="zh-CN" w:bidi="ar-SA"/>
        </w:rPr>
        <w:t>4、</w:t>
      </w:r>
      <w:r>
        <w:rPr>
          <w:rFonts w:hint="eastAsia" w:ascii="仿宋_GB2312" w:eastAsia="仿宋_GB2312" w:hAnsiTheme="minorHAnsi" w:cstheme="minorBidi"/>
          <w:color w:val="auto"/>
          <w:kern w:val="2"/>
          <w:sz w:val="32"/>
          <w:szCs w:val="32"/>
          <w:lang w:val="en-US" w:eastAsia="zh-CN" w:bidi="ar-SA"/>
        </w:rPr>
        <w:t>科学技术（类）应用研究（款）高技术研究（项）</w:t>
      </w:r>
    </w:p>
    <w:p>
      <w:pPr>
        <w:pStyle w:val="10"/>
        <w:ind w:firstLine="640" w:firstLineChars="200"/>
        <w:rPr>
          <w:rFonts w:hint="default"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年初预算为100万元，支出决算为81.13万元，完成年初预算的81.13%，决算数小于年初预算数的主要原因是创新型省份建设专项资金项目为跨年项目，部分费用需在2022年支付。</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cstheme="minorBidi"/>
          <w:color w:val="auto"/>
          <w:kern w:val="2"/>
          <w:sz w:val="32"/>
          <w:szCs w:val="32"/>
          <w:lang w:val="en-US" w:eastAsia="zh-CN" w:bidi="ar-SA"/>
        </w:rPr>
        <w:t>5、</w:t>
      </w:r>
      <w:r>
        <w:rPr>
          <w:rFonts w:hint="eastAsia" w:ascii="仿宋_GB2312" w:eastAsia="仿宋_GB2312" w:hAnsiTheme="minorHAnsi" w:cstheme="minorBidi"/>
          <w:color w:val="auto"/>
          <w:kern w:val="2"/>
          <w:sz w:val="32"/>
          <w:szCs w:val="32"/>
          <w:lang w:val="en-US" w:eastAsia="zh-CN" w:bidi="ar-SA"/>
        </w:rPr>
        <w:t>科学技术（类）科技重大项目（款）重点研发计划（项）</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年初预算为0万元，支出决算为208.05万元，决算数大于年初预算数的主要原因是年中追加财政拨款用于创新型省份建设专项支出。</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cstheme="minorBidi"/>
          <w:color w:val="auto"/>
          <w:kern w:val="2"/>
          <w:sz w:val="32"/>
          <w:szCs w:val="32"/>
          <w:lang w:val="en-US" w:eastAsia="zh-CN" w:bidi="ar-SA"/>
        </w:rPr>
        <w:t>6、</w:t>
      </w:r>
      <w:r>
        <w:rPr>
          <w:rFonts w:hint="eastAsia" w:ascii="仿宋_GB2312" w:eastAsia="仿宋_GB2312" w:hAnsiTheme="minorHAnsi" w:cstheme="minorBidi"/>
          <w:color w:val="auto"/>
          <w:kern w:val="2"/>
          <w:sz w:val="32"/>
          <w:szCs w:val="32"/>
          <w:lang w:val="en-US" w:eastAsia="zh-CN" w:bidi="ar-SA"/>
        </w:rPr>
        <w:t>社会保障和就业支出（类）行政事业单位养老支出（款）事业单位离退休（项）</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年初预算为0万元，支出决算为0.76万元，决算数大于年初预算数的主要原因是年中追加财政拨款用于离休人员生活补助和医疗费补助。</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cstheme="minorBidi"/>
          <w:color w:val="auto"/>
          <w:kern w:val="2"/>
          <w:sz w:val="32"/>
          <w:szCs w:val="32"/>
          <w:lang w:val="en-US" w:eastAsia="zh-CN" w:bidi="ar-SA"/>
        </w:rPr>
        <w:t>7、</w:t>
      </w:r>
      <w:r>
        <w:rPr>
          <w:rFonts w:hint="eastAsia" w:ascii="仿宋_GB2312" w:eastAsia="仿宋_GB2312" w:hAnsiTheme="minorHAnsi" w:cstheme="minorBidi"/>
          <w:color w:val="auto"/>
          <w:kern w:val="2"/>
          <w:sz w:val="32"/>
          <w:szCs w:val="32"/>
          <w:lang w:val="en-US" w:eastAsia="zh-CN" w:bidi="ar-SA"/>
        </w:rPr>
        <w:t>社会保障和就业支出（类）行政事业单位养老支出（款）机关事业单位基本养老保险缴费支出（项）</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年初预算为280万元，支出决算为280万元，完成年初预算的100%。</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cstheme="minorBidi"/>
          <w:color w:val="auto"/>
          <w:kern w:val="2"/>
          <w:sz w:val="32"/>
          <w:szCs w:val="32"/>
          <w:lang w:val="en-US" w:eastAsia="zh-CN" w:bidi="ar-SA"/>
        </w:rPr>
        <w:t>8、</w:t>
      </w:r>
      <w:r>
        <w:rPr>
          <w:rFonts w:hint="eastAsia" w:ascii="仿宋_GB2312" w:eastAsia="仿宋_GB2312" w:hAnsiTheme="minorHAnsi" w:cstheme="minorBidi"/>
          <w:color w:val="auto"/>
          <w:kern w:val="2"/>
          <w:sz w:val="32"/>
          <w:szCs w:val="32"/>
          <w:lang w:val="en-US" w:eastAsia="zh-CN" w:bidi="ar-SA"/>
        </w:rPr>
        <w:t>社会保障和就业支出（类）行政事业单位养老支出（款）机关事业单位职业年金缴费支出（项）</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年初预算为140万元，支出决算为140万元，完成年初预算的100%。</w:t>
      </w:r>
    </w:p>
    <w:p>
      <w:pPr>
        <w:pStyle w:val="10"/>
        <w:ind w:firstLine="640" w:firstLineChars="200"/>
        <w:rPr>
          <w:rFonts w:hint="eastAsia" w:asciiTheme="minorEastAsia" w:hAnsiTheme="minorEastAsia" w:eastAsiaTheme="minorEastAsia"/>
          <w:sz w:val="32"/>
          <w:szCs w:val="32"/>
          <w:lang w:val="en-US" w:eastAsia="zh-CN"/>
        </w:rPr>
      </w:pPr>
      <w:r>
        <w:rPr>
          <w:rFonts w:hint="eastAsia" w:ascii="仿宋_GB2312" w:eastAsia="仿宋_GB2312" w:cstheme="minorBidi"/>
          <w:color w:val="auto"/>
          <w:kern w:val="2"/>
          <w:sz w:val="32"/>
          <w:szCs w:val="32"/>
          <w:lang w:val="en-US" w:eastAsia="zh-CN" w:bidi="ar-SA"/>
        </w:rPr>
        <w:t>9、</w:t>
      </w:r>
      <w:r>
        <w:rPr>
          <w:rFonts w:hint="eastAsia" w:ascii="仿宋_GB2312" w:eastAsia="仿宋_GB2312" w:hAnsiTheme="minorHAnsi" w:cstheme="minorBidi"/>
          <w:color w:val="auto"/>
          <w:kern w:val="2"/>
          <w:sz w:val="32"/>
          <w:szCs w:val="32"/>
          <w:lang w:val="en-US" w:eastAsia="zh-CN" w:bidi="ar-SA"/>
        </w:rPr>
        <w:t>节能环保支出（类）环境保护管理事务（款）其他环境保护管理事</w:t>
      </w:r>
      <w:r>
        <w:rPr>
          <w:rFonts w:hint="eastAsia" w:asciiTheme="minorEastAsia" w:hAnsiTheme="minorEastAsia" w:eastAsiaTheme="minorEastAsia"/>
          <w:sz w:val="32"/>
          <w:szCs w:val="32"/>
          <w:lang w:val="en-US" w:eastAsia="zh-CN"/>
        </w:rPr>
        <w:t>务支出（项）</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年初预算为480.1万元，支出决算为531.98万元，完成年初预算的110.81%，决算数大于年初预算数的主要原因是使用年中追加财政拨款用于污染防治攻坚战项目支出。</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cstheme="minorBidi"/>
          <w:color w:val="auto"/>
          <w:kern w:val="2"/>
          <w:sz w:val="32"/>
          <w:szCs w:val="32"/>
          <w:lang w:val="en-US" w:eastAsia="zh-CN" w:bidi="ar-SA"/>
        </w:rPr>
        <w:t>10、</w:t>
      </w:r>
      <w:r>
        <w:rPr>
          <w:rFonts w:hint="eastAsia" w:ascii="仿宋_GB2312" w:eastAsia="仿宋_GB2312" w:hAnsiTheme="minorHAnsi" w:cstheme="minorBidi"/>
          <w:color w:val="auto"/>
          <w:kern w:val="2"/>
          <w:sz w:val="32"/>
          <w:szCs w:val="32"/>
          <w:lang w:val="en-US" w:eastAsia="zh-CN" w:bidi="ar-SA"/>
        </w:rPr>
        <w:t>节能环保（类）污染防治（款）大气（项）</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年初预算为373.7万元，支出决算为216.26万元，完成年初预算的57.87%，决算数小于年初预算数的主要原因是长株潭地区源解析等工作需按项目执行进度进行资金支付。</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cstheme="minorBidi"/>
          <w:color w:val="auto"/>
          <w:kern w:val="2"/>
          <w:sz w:val="32"/>
          <w:szCs w:val="32"/>
          <w:lang w:val="en-US" w:eastAsia="zh-CN" w:bidi="ar-SA"/>
        </w:rPr>
        <w:t>11、</w:t>
      </w:r>
      <w:r>
        <w:rPr>
          <w:rFonts w:hint="eastAsia" w:ascii="仿宋_GB2312" w:eastAsia="仿宋_GB2312" w:hAnsiTheme="minorHAnsi" w:cstheme="minorBidi"/>
          <w:color w:val="auto"/>
          <w:kern w:val="2"/>
          <w:sz w:val="32"/>
          <w:szCs w:val="32"/>
          <w:lang w:val="en-US" w:eastAsia="zh-CN" w:bidi="ar-SA"/>
        </w:rPr>
        <w:t>节能环保（类）污染防治（款）水体（项）</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年初预算为0万元，支出决算为89.39万元，决算数大于年初预算数的主要原因是年中追加中央财政拨款用于水污染防治等方面的支出。</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cstheme="minorBidi"/>
          <w:color w:val="auto"/>
          <w:kern w:val="2"/>
          <w:sz w:val="32"/>
          <w:szCs w:val="32"/>
          <w:lang w:val="en-US" w:eastAsia="zh-CN" w:bidi="ar-SA"/>
        </w:rPr>
        <w:t>12、</w:t>
      </w:r>
      <w:r>
        <w:rPr>
          <w:rFonts w:hint="eastAsia" w:ascii="仿宋_GB2312" w:eastAsia="仿宋_GB2312" w:hAnsiTheme="minorHAnsi" w:cstheme="minorBidi"/>
          <w:color w:val="auto"/>
          <w:kern w:val="2"/>
          <w:sz w:val="32"/>
          <w:szCs w:val="32"/>
          <w:lang w:val="en-US" w:eastAsia="zh-CN" w:bidi="ar-SA"/>
        </w:rPr>
        <w:t>节能环保（类）污染防治（款）土壤（项）</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年初预算为0万元，支出决算为590.28万元，决算数大于年初预算数的主要原因是年中追加财政拨款用于土壤污染防治专项资金等方面的支出。</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cstheme="minorBidi"/>
          <w:color w:val="auto"/>
          <w:kern w:val="2"/>
          <w:sz w:val="32"/>
          <w:szCs w:val="32"/>
          <w:lang w:val="en-US" w:eastAsia="zh-CN" w:bidi="ar-SA"/>
        </w:rPr>
        <w:t>13、</w:t>
      </w:r>
      <w:r>
        <w:rPr>
          <w:rFonts w:hint="eastAsia" w:ascii="仿宋_GB2312" w:eastAsia="仿宋_GB2312" w:hAnsiTheme="minorHAnsi" w:cstheme="minorBidi"/>
          <w:color w:val="auto"/>
          <w:kern w:val="2"/>
          <w:sz w:val="32"/>
          <w:szCs w:val="32"/>
          <w:lang w:val="en-US" w:eastAsia="zh-CN" w:bidi="ar-SA"/>
        </w:rPr>
        <w:t>节能环保（类）污染防治（款）其他污染防治支出（项）</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年初预算为302.4万元，支出决算为341.41万元，完成年初预算的</w:t>
      </w:r>
      <w:r>
        <w:rPr>
          <w:rFonts w:hint="eastAsia" w:asciiTheme="minorEastAsia" w:hAnsiTheme="minorEastAsia" w:eastAsiaTheme="minorEastAsia"/>
          <w:sz w:val="32"/>
          <w:szCs w:val="32"/>
          <w:lang w:val="en-US" w:eastAsia="zh-CN"/>
        </w:rPr>
        <w:t>112.9</w:t>
      </w:r>
      <w:r>
        <w:rPr>
          <w:rFonts w:hint="eastAsia" w:asciiTheme="minorEastAsia" w:hAnsiTheme="minorEastAsia" w:eastAsiaTheme="minorEastAsia"/>
          <w:sz w:val="32"/>
          <w:szCs w:val="32"/>
        </w:rPr>
        <w:t>%，</w:t>
      </w:r>
      <w:r>
        <w:rPr>
          <w:rFonts w:hint="eastAsia" w:ascii="仿宋_GB2312" w:eastAsia="仿宋_GB2312" w:hAnsiTheme="minorHAnsi" w:cstheme="minorBidi"/>
          <w:color w:val="auto"/>
          <w:kern w:val="2"/>
          <w:sz w:val="32"/>
          <w:szCs w:val="32"/>
          <w:lang w:val="en-US" w:eastAsia="zh-CN" w:bidi="ar-SA"/>
        </w:rPr>
        <w:t>决算数大于年初预算数的主要原因是年中追加的财政拨款用于土壤污染治理与修复成效评估等相关工作支出。</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cstheme="minorBidi"/>
          <w:color w:val="auto"/>
          <w:kern w:val="2"/>
          <w:sz w:val="32"/>
          <w:szCs w:val="32"/>
          <w:lang w:val="en-US" w:eastAsia="zh-CN" w:bidi="ar-SA"/>
        </w:rPr>
        <w:t>14、</w:t>
      </w:r>
      <w:r>
        <w:rPr>
          <w:rFonts w:hint="eastAsia" w:ascii="仿宋_GB2312" w:eastAsia="仿宋_GB2312" w:hAnsiTheme="minorHAnsi" w:cstheme="minorBidi"/>
          <w:color w:val="auto"/>
          <w:kern w:val="2"/>
          <w:sz w:val="32"/>
          <w:szCs w:val="32"/>
          <w:lang w:val="en-US" w:eastAsia="zh-CN" w:bidi="ar-SA"/>
        </w:rPr>
        <w:t>节能环保（类）自然生态保护（款）农村环境保护（项）</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年初预算为79.7万元，支出决算为106.62万元，完成年初预算的133.78%，决算数大于年初预算数的主要原因是本年追加的财政拨款用于省级农村环境综合整治等相关工作支出。</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cstheme="minorBidi"/>
          <w:color w:val="auto"/>
          <w:kern w:val="2"/>
          <w:sz w:val="32"/>
          <w:szCs w:val="32"/>
          <w:lang w:val="en-US" w:eastAsia="zh-CN" w:bidi="ar-SA"/>
        </w:rPr>
        <w:t>15、</w:t>
      </w:r>
      <w:r>
        <w:rPr>
          <w:rFonts w:hint="eastAsia" w:ascii="仿宋_GB2312" w:eastAsia="仿宋_GB2312" w:hAnsiTheme="minorHAnsi" w:cstheme="minorBidi"/>
          <w:color w:val="auto"/>
          <w:kern w:val="2"/>
          <w:sz w:val="32"/>
          <w:szCs w:val="32"/>
          <w:lang w:val="en-US" w:eastAsia="zh-CN" w:bidi="ar-SA"/>
        </w:rPr>
        <w:t>住房保障支出（类）住房改革支出（款）住房公积金（项）</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年初预算为108.74万元，支出决算为108.74万元，完成年初预算的100%。</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cstheme="minorBidi"/>
          <w:color w:val="auto"/>
          <w:kern w:val="2"/>
          <w:sz w:val="32"/>
          <w:szCs w:val="32"/>
          <w:lang w:val="en-US" w:eastAsia="zh-CN" w:bidi="ar-SA"/>
        </w:rPr>
        <w:t>16、</w:t>
      </w:r>
      <w:r>
        <w:rPr>
          <w:rFonts w:hint="eastAsia" w:ascii="仿宋_GB2312" w:eastAsia="仿宋_GB2312" w:hAnsiTheme="minorHAnsi" w:cstheme="minorBidi"/>
          <w:color w:val="auto"/>
          <w:kern w:val="2"/>
          <w:sz w:val="32"/>
          <w:szCs w:val="32"/>
          <w:lang w:val="en-US" w:eastAsia="zh-CN" w:bidi="ar-SA"/>
        </w:rPr>
        <w:t>住房保障支出（类）住房改革支出（款）购房补贴（项）</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年初预算为40万元，支出决算为40万元，完成年初预算的100%。</w:t>
      </w:r>
    </w:p>
    <w:p>
      <w:pPr>
        <w:pStyle w:val="10"/>
        <w:ind w:firstLine="640" w:firstLineChars="200"/>
        <w:rPr>
          <w:rFonts w:hAnsi="黑体"/>
          <w:b/>
          <w:sz w:val="32"/>
          <w:szCs w:val="32"/>
        </w:rPr>
      </w:pPr>
      <w:r>
        <w:rPr>
          <w:rFonts w:hint="eastAsia" w:hAnsi="黑体"/>
          <w:b/>
          <w:sz w:val="32"/>
          <w:szCs w:val="32"/>
        </w:rPr>
        <w:t>六、一般公共预算财政拨款基本支出决算情况说明</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2021年度财政拨款基本支出1420.02万元，其中：人员经费1420.02万元，占基本支出的100%,主要包括基本工资、津贴补贴、绩效工资、机关事业单位基本养老保险缴费、职业年金缴费、职工基本医疗保险缴费、其他社会保障缴费、住房公积金、退休费、生活补助、医疗费补助。</w:t>
      </w:r>
    </w:p>
    <w:p>
      <w:pPr>
        <w:pStyle w:val="10"/>
        <w:ind w:firstLine="640" w:firstLineChars="200"/>
        <w:rPr>
          <w:rFonts w:hAnsi="黑体"/>
          <w:b/>
          <w:sz w:val="32"/>
          <w:szCs w:val="32"/>
        </w:rPr>
      </w:pPr>
      <w:r>
        <w:rPr>
          <w:rFonts w:hint="eastAsia" w:hAnsi="黑体"/>
          <w:b/>
          <w:sz w:val="32"/>
          <w:szCs w:val="32"/>
        </w:rPr>
        <w:t>七、一般公共预算财政拨款“三公”经费支出决算情况说明</w:t>
      </w:r>
    </w:p>
    <w:p>
      <w:pPr>
        <w:pStyle w:val="10"/>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2021年度“三公”经费财政拨款支出预算为0万元，支出决算为0万元</w:t>
      </w:r>
      <w:r>
        <w:rPr>
          <w:rFonts w:hint="eastAsia" w:ascii="仿宋_GB2312" w:eastAsia="仿宋_GB2312" w:cstheme="minorBidi"/>
          <w:color w:val="auto"/>
          <w:kern w:val="2"/>
          <w:sz w:val="32"/>
          <w:szCs w:val="32"/>
          <w:lang w:val="en-US" w:eastAsia="zh-CN" w:bidi="ar-SA"/>
        </w:rPr>
        <w:t>。</w:t>
      </w:r>
      <w:r>
        <w:rPr>
          <w:rFonts w:hint="eastAsia" w:ascii="仿宋_GB2312" w:eastAsia="仿宋_GB2312" w:hAnsiTheme="minorHAnsi" w:cstheme="minorBidi"/>
          <w:color w:val="auto"/>
          <w:kern w:val="2"/>
          <w:sz w:val="32"/>
          <w:szCs w:val="32"/>
          <w:lang w:val="en-US" w:eastAsia="zh-CN" w:bidi="ar-SA"/>
        </w:rPr>
        <w:t>其中：</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因公出国（境）费支出预算为0万元，支出决算为0万元。</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公务接待费支出预算为0万元，支出决算为0万元。</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公务用车购置费支出预算为0万元，支出决算为0万元。</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公务用车运行维护费支出预算为0万元，支出决算为0万元。</w:t>
      </w:r>
    </w:p>
    <w:p>
      <w:pPr>
        <w:pStyle w:val="10"/>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ind w:firstLine="640" w:firstLineChars="200"/>
        <w:rPr>
          <w:rFonts w:hint="eastAsia" w:ascii="仿宋_GB2312" w:eastAsia="仿宋_GB2312"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2021年度“三公”经费财政拨款支出决算中，本单位没有一般公共预算财政拨款安排的“三公”经费支出，公务接待费支出决算0万元，因公出国（境）费支出决算0万元，公务用车购置费及运行维护费支出决算0万元。</w:t>
      </w:r>
      <w:r>
        <w:rPr>
          <w:rFonts w:hint="eastAsia" w:ascii="仿宋_GB2312" w:eastAsia="仿宋_GB2312" w:cstheme="minorBidi"/>
          <w:color w:val="auto"/>
          <w:kern w:val="2"/>
          <w:sz w:val="32"/>
          <w:szCs w:val="32"/>
          <w:lang w:val="en-US" w:eastAsia="zh-CN" w:bidi="ar-SA"/>
        </w:rPr>
        <w:t>其中：</w:t>
      </w:r>
    </w:p>
    <w:p>
      <w:pPr>
        <w:numPr>
          <w:ilvl w:val="0"/>
          <w:numId w:val="1"/>
        </w:numPr>
        <w:ind w:firstLine="640" w:firstLineChars="200"/>
        <w:rPr>
          <w:rFonts w:hint="default" w:ascii="仿宋_GB2312" w:eastAsia="仿宋_GB2312" w:cstheme="minorBidi"/>
          <w:color w:val="auto"/>
          <w:kern w:val="2"/>
          <w:sz w:val="32"/>
          <w:szCs w:val="32"/>
          <w:lang w:val="en-US" w:eastAsia="zh-CN" w:bidi="ar-SA"/>
        </w:rPr>
      </w:pPr>
      <w:r>
        <w:rPr>
          <w:rFonts w:hint="default" w:ascii="仿宋_GB2312" w:eastAsia="仿宋_GB2312" w:cstheme="minorBidi"/>
          <w:color w:val="auto"/>
          <w:kern w:val="2"/>
          <w:sz w:val="32"/>
          <w:szCs w:val="32"/>
          <w:lang w:val="en-US" w:eastAsia="zh-CN" w:bidi="ar-SA"/>
        </w:rPr>
        <w:t xml:space="preserve">因公出国（境）费支出决算为0万元，全年安排因公出国（境）团组0个，累计0人次。 </w:t>
      </w:r>
    </w:p>
    <w:p>
      <w:pPr>
        <w:numPr>
          <w:ilvl w:val="0"/>
          <w:numId w:val="1"/>
        </w:numPr>
        <w:ind w:firstLine="640" w:firstLineChars="200"/>
        <w:rPr>
          <w:rFonts w:hint="default" w:ascii="仿宋_GB2312" w:eastAsia="仿宋_GB2312" w:cstheme="minorBidi"/>
          <w:color w:val="auto"/>
          <w:kern w:val="2"/>
          <w:sz w:val="32"/>
          <w:szCs w:val="32"/>
          <w:lang w:val="en-US" w:eastAsia="zh-CN" w:bidi="ar-SA"/>
        </w:rPr>
      </w:pPr>
      <w:r>
        <w:rPr>
          <w:rFonts w:hint="default" w:ascii="仿宋_GB2312" w:eastAsia="仿宋_GB2312" w:cstheme="minorBidi"/>
          <w:color w:val="auto"/>
          <w:kern w:val="2"/>
          <w:sz w:val="32"/>
          <w:szCs w:val="32"/>
          <w:lang w:val="en-US" w:eastAsia="zh-CN" w:bidi="ar-SA"/>
        </w:rPr>
        <w:t>公务接待费支出决算为0万元，全年共接待来访团组0个、来宾0人次。</w:t>
      </w:r>
    </w:p>
    <w:p>
      <w:pPr>
        <w:ind w:firstLine="640" w:firstLineChars="200"/>
        <w:rPr>
          <w:rFonts w:hint="default" w:ascii="仿宋_GB2312" w:eastAsia="仿宋_GB2312" w:cstheme="minorBidi"/>
          <w:color w:val="auto"/>
          <w:kern w:val="2"/>
          <w:sz w:val="32"/>
          <w:szCs w:val="32"/>
          <w:lang w:val="en-US" w:eastAsia="zh-CN" w:bidi="ar-SA"/>
        </w:rPr>
      </w:pPr>
      <w:r>
        <w:rPr>
          <w:rFonts w:hint="default" w:ascii="仿宋_GB2312" w:eastAsia="仿宋_GB2312" w:cstheme="minorBidi"/>
          <w:color w:val="auto"/>
          <w:kern w:val="2"/>
          <w:sz w:val="32"/>
          <w:szCs w:val="32"/>
          <w:lang w:val="en-US" w:eastAsia="zh-CN" w:bidi="ar-SA"/>
        </w:rPr>
        <w:t>3. 公务用车购置费及运行维护费支出决算为0 万元，其中：公务用车购置费 0 万元,本单位更新公务用车0 辆。公务用车运行维护费 0 万元。截止 202</w:t>
      </w:r>
      <w:r>
        <w:rPr>
          <w:rFonts w:hint="eastAsia" w:ascii="仿宋_GB2312" w:eastAsia="仿宋_GB2312" w:cstheme="minorBidi"/>
          <w:color w:val="auto"/>
          <w:kern w:val="2"/>
          <w:sz w:val="32"/>
          <w:szCs w:val="32"/>
          <w:lang w:val="en-US" w:eastAsia="zh-CN" w:bidi="ar-SA"/>
        </w:rPr>
        <w:t>1</w:t>
      </w:r>
      <w:r>
        <w:rPr>
          <w:rFonts w:hint="default" w:ascii="仿宋_GB2312" w:eastAsia="仿宋_GB2312" w:cstheme="minorBidi"/>
          <w:color w:val="auto"/>
          <w:kern w:val="2"/>
          <w:sz w:val="32"/>
          <w:szCs w:val="32"/>
          <w:lang w:val="en-US" w:eastAsia="zh-CN" w:bidi="ar-SA"/>
        </w:rPr>
        <w:t>年 12 月31 日，我单位开支财政拨款的公务用车保有量为 0</w:t>
      </w:r>
      <w:r>
        <w:rPr>
          <w:rFonts w:hint="eastAsia" w:ascii="仿宋_GB2312" w:eastAsia="仿宋_GB2312" w:cstheme="minorBidi"/>
          <w:color w:val="auto"/>
          <w:kern w:val="2"/>
          <w:sz w:val="32"/>
          <w:szCs w:val="32"/>
          <w:lang w:val="en-US" w:eastAsia="zh-CN" w:bidi="ar-SA"/>
        </w:rPr>
        <w:t>辆。</w:t>
      </w:r>
      <w:bookmarkStart w:id="3" w:name="_GoBack"/>
      <w:bookmarkEnd w:id="3"/>
    </w:p>
    <w:p>
      <w:pPr>
        <w:pStyle w:val="10"/>
        <w:ind w:firstLine="640" w:firstLineChars="200"/>
        <w:rPr>
          <w:rFonts w:hAnsi="黑体"/>
          <w:b/>
          <w:sz w:val="32"/>
          <w:szCs w:val="32"/>
        </w:rPr>
      </w:pPr>
      <w:r>
        <w:rPr>
          <w:rFonts w:hint="eastAsia" w:hAnsi="黑体"/>
          <w:b/>
          <w:sz w:val="32"/>
          <w:szCs w:val="32"/>
        </w:rPr>
        <w:t>八、政府性基金预算收入支出决算情况</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2021年度政府性基金预算财政拨款收入0万元。</w:t>
      </w:r>
    </w:p>
    <w:p>
      <w:pPr>
        <w:pStyle w:val="10"/>
        <w:ind w:firstLine="640" w:firstLineChars="200"/>
        <w:rPr>
          <w:rFonts w:hAnsi="黑体"/>
          <w:b/>
          <w:sz w:val="32"/>
          <w:szCs w:val="32"/>
        </w:rPr>
      </w:pPr>
      <w:r>
        <w:rPr>
          <w:rFonts w:hint="eastAsia" w:hAnsi="黑体"/>
          <w:b/>
          <w:sz w:val="32"/>
          <w:szCs w:val="32"/>
        </w:rPr>
        <w:t>九、机关运行经费支出说明</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本部门2021年度机关运行经费支出0万元。</w:t>
      </w:r>
    </w:p>
    <w:p>
      <w:pPr>
        <w:pStyle w:val="10"/>
        <w:ind w:firstLine="640" w:firstLineChars="200"/>
        <w:rPr>
          <w:rFonts w:hAnsi="黑体"/>
          <w:b/>
          <w:sz w:val="32"/>
          <w:szCs w:val="32"/>
        </w:rPr>
      </w:pPr>
      <w:r>
        <w:rPr>
          <w:rFonts w:hint="eastAsia" w:hAnsi="黑体"/>
          <w:b/>
          <w:sz w:val="32"/>
          <w:szCs w:val="32"/>
        </w:rPr>
        <w:t>十、一般性支出情况说明</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2021年本部门开支会议费53.19万元，用于召开全省生态环境业务相关工作（三类）会议72次，人数1200余人，内容为农村环境综合整治工作验收、土壤（地下水）污染防治业务培训、土壤污染防治项目预审、湖南省“十四五”生态环境保护规划前期研究阶段成果研讨等；开支培训费0.73万元，用于业务人员技能培训3次，人数3人，内容为开展地下水数值模拟GMS实践技术应用、区域气象-大气化学在线耦合模式在大气环境领域实践技术应用等。</w:t>
      </w:r>
    </w:p>
    <w:p>
      <w:pPr>
        <w:pStyle w:val="10"/>
        <w:ind w:firstLine="640" w:firstLineChars="200"/>
        <w:rPr>
          <w:rFonts w:hAnsi="黑体"/>
          <w:b/>
          <w:sz w:val="32"/>
          <w:szCs w:val="32"/>
        </w:rPr>
      </w:pPr>
      <w:r>
        <w:rPr>
          <w:rFonts w:hint="eastAsia" w:hAnsi="黑体"/>
          <w:b/>
          <w:sz w:val="32"/>
          <w:szCs w:val="32"/>
        </w:rPr>
        <w:t>十一、政府采购支出说明</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本部门2021年度政府采购支出总额670.85万元，其中：政府采购货物支出573.95 万元、政府采购工程支出0 万元、政府采购服务支出96.9万元。授予中小企业合同金额670.85万元，占政府采购支出总额的100%，其中：授予小微企业合同金额0万元，占授予中小企业合同金额的0%；货物采购授予中小企业合同金额占货物支出金额的85.56%，工程采购授予中小企业合同金额占工程支出金额的0%，服务采购授予中小企业合同金额占服务支出金额的14.44%。</w:t>
      </w:r>
    </w:p>
    <w:p>
      <w:pPr>
        <w:pStyle w:val="10"/>
        <w:ind w:firstLine="640" w:firstLineChars="200"/>
        <w:rPr>
          <w:rFonts w:hAnsi="黑体"/>
          <w:b/>
          <w:sz w:val="32"/>
          <w:szCs w:val="32"/>
        </w:rPr>
      </w:pPr>
      <w:r>
        <w:rPr>
          <w:rFonts w:hint="eastAsia" w:hAnsi="黑体"/>
          <w:b/>
          <w:sz w:val="32"/>
          <w:szCs w:val="32"/>
        </w:rPr>
        <w:t>十二、国有资产占用情况说明</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截至2021年12月31日，部门（单位）共有车辆7辆，其中，主要领导干部用车0辆，机要通信用车0辆、应急保障用车0辆、执法执勤用车0辆、特种专业技术用车0辆、其他用车7辆，其他用车主要是业务用车；单位价值50万元以上通用设备3台（套）；单位价值100万元以上专用设备2台（套）。</w:t>
      </w:r>
    </w:p>
    <w:p>
      <w:pPr>
        <w:pStyle w:val="10"/>
        <w:ind w:firstLine="640" w:firstLineChars="200"/>
        <w:rPr>
          <w:sz w:val="72"/>
          <w:szCs w:val="72"/>
        </w:rPr>
      </w:pPr>
      <w:r>
        <w:rPr>
          <w:rFonts w:hint="eastAsia" w:hAnsi="黑体"/>
          <w:b/>
          <w:sz w:val="32"/>
          <w:szCs w:val="32"/>
        </w:rPr>
        <w:t>十三、2021年度预算绩效情况说明</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根据预算绩效管理要求，本部门对2021年度一般公共预算项目支出开展绩效自评，绩效自评省级专项</w:t>
      </w:r>
      <w:r>
        <w:rPr>
          <w:rFonts w:hint="eastAsia" w:ascii="仿宋_GB2312" w:eastAsia="仿宋_GB2312" w:cstheme="minorBidi"/>
          <w:color w:val="auto"/>
          <w:kern w:val="2"/>
          <w:sz w:val="32"/>
          <w:szCs w:val="32"/>
          <w:lang w:val="en-US" w:eastAsia="zh-CN" w:bidi="ar-SA"/>
        </w:rPr>
        <w:t>3</w:t>
      </w:r>
      <w:r>
        <w:rPr>
          <w:rFonts w:hint="eastAsia" w:ascii="仿宋_GB2312" w:eastAsia="仿宋_GB2312" w:hAnsiTheme="minorHAnsi" w:cstheme="minorBidi"/>
          <w:color w:val="auto"/>
          <w:kern w:val="2"/>
          <w:sz w:val="32"/>
          <w:szCs w:val="32"/>
          <w:lang w:val="en-US" w:eastAsia="zh-CN" w:bidi="ar-SA"/>
        </w:rPr>
        <w:t>个，涉及资金</w:t>
      </w:r>
      <w:r>
        <w:rPr>
          <w:rFonts w:hint="eastAsia" w:ascii="仿宋_GB2312" w:eastAsia="仿宋_GB2312" w:cstheme="minorBidi"/>
          <w:color w:val="auto"/>
          <w:kern w:val="2"/>
          <w:sz w:val="32"/>
          <w:szCs w:val="32"/>
          <w:lang w:val="en-US" w:eastAsia="zh-CN" w:bidi="ar-SA"/>
        </w:rPr>
        <w:t>1042</w:t>
      </w:r>
      <w:r>
        <w:rPr>
          <w:rFonts w:hint="eastAsia" w:ascii="仿宋_GB2312" w:eastAsia="仿宋_GB2312" w:hAnsiTheme="minorHAnsi" w:cstheme="minorBidi"/>
          <w:color w:val="auto"/>
          <w:kern w:val="2"/>
          <w:sz w:val="32"/>
          <w:szCs w:val="32"/>
          <w:lang w:val="en-US" w:eastAsia="zh-CN" w:bidi="ar-SA"/>
        </w:rPr>
        <w:t>万元，占一般公共预算项目支出的</w:t>
      </w:r>
      <w:r>
        <w:rPr>
          <w:rFonts w:hint="eastAsia" w:ascii="仿宋_GB2312" w:eastAsia="仿宋_GB2312" w:cstheme="minorBidi"/>
          <w:color w:val="auto"/>
          <w:kern w:val="2"/>
          <w:sz w:val="32"/>
          <w:szCs w:val="32"/>
          <w:lang w:val="en-US" w:eastAsia="zh-CN" w:bidi="ar-SA"/>
        </w:rPr>
        <w:t>28.96</w:t>
      </w:r>
      <w:r>
        <w:rPr>
          <w:rFonts w:hint="eastAsia" w:ascii="仿宋_GB2312" w:eastAsia="仿宋_GB2312" w:hAnsiTheme="minorHAnsi" w:cstheme="minorBidi"/>
          <w:color w:val="auto"/>
          <w:kern w:val="2"/>
          <w:sz w:val="32"/>
          <w:szCs w:val="32"/>
          <w:lang w:val="en-US" w:eastAsia="zh-CN" w:bidi="ar-SA"/>
        </w:rPr>
        <w:t>%。无政府性基金预算项目支出，无国有资本经营预算项目支出。</w:t>
      </w:r>
    </w:p>
    <w:p>
      <w:pPr>
        <w:pStyle w:val="10"/>
        <w:ind w:firstLine="640" w:firstLineChars="200"/>
        <w:rPr>
          <w:rFonts w:hint="default"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2021年度本部门整体支出绩效自评综合得分为98分，评价等级为“优”。</w:t>
      </w:r>
    </w:p>
    <w:p>
      <w:pPr>
        <w:pStyle w:val="10"/>
        <w:ind w:firstLine="640" w:firstLineChars="200"/>
        <w:rPr>
          <w:rFonts w:hint="eastAsia" w:ascii="仿宋_GB2312" w:eastAsia="仿宋_GB2312" w:hAnsiTheme="minorHAnsi" w:cstheme="minorBidi"/>
          <w:color w:val="auto"/>
          <w:kern w:val="2"/>
          <w:sz w:val="32"/>
          <w:szCs w:val="32"/>
          <w:lang w:val="en-US" w:eastAsia="zh-CN" w:bidi="ar-SA"/>
        </w:rPr>
      </w:pPr>
    </w:p>
    <w:p>
      <w:pPr>
        <w:pStyle w:val="10"/>
        <w:jc w:val="center"/>
        <w:rPr>
          <w:sz w:val="72"/>
          <w:szCs w:val="72"/>
        </w:rPr>
      </w:pPr>
    </w:p>
    <w:p>
      <w:pPr>
        <w:pStyle w:val="10"/>
        <w:jc w:val="center"/>
        <w:rPr>
          <w:sz w:val="72"/>
          <w:szCs w:val="72"/>
        </w:rPr>
      </w:pPr>
    </w:p>
    <w:p>
      <w:pPr>
        <w:pStyle w:val="10"/>
        <w:rPr>
          <w:sz w:val="72"/>
          <w:szCs w:val="72"/>
        </w:rPr>
      </w:pPr>
    </w:p>
    <w:p>
      <w:pPr>
        <w:pStyle w:val="10"/>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rFonts w:hint="eastAsia"/>
          <w:sz w:val="72"/>
          <w:szCs w:val="72"/>
        </w:rPr>
      </w:pPr>
    </w:p>
    <w:p>
      <w:pPr>
        <w:pStyle w:val="10"/>
        <w:jc w:val="center"/>
        <w:rPr>
          <w:rFonts w:hint="eastAsia"/>
          <w:sz w:val="72"/>
          <w:szCs w:val="72"/>
        </w:rPr>
      </w:pPr>
    </w:p>
    <w:p>
      <w:pPr>
        <w:pStyle w:val="10"/>
        <w:jc w:val="center"/>
        <w:rPr>
          <w:rFonts w:hint="eastAsia"/>
          <w:sz w:val="72"/>
          <w:szCs w:val="72"/>
        </w:rPr>
      </w:pPr>
    </w:p>
    <w:p>
      <w:pPr>
        <w:pStyle w:val="10"/>
        <w:jc w:val="center"/>
        <w:rPr>
          <w:rFonts w:hint="eastAsia"/>
          <w:sz w:val="72"/>
          <w:szCs w:val="72"/>
        </w:rPr>
      </w:pPr>
    </w:p>
    <w:p>
      <w:pPr>
        <w:pStyle w:val="10"/>
        <w:jc w:val="center"/>
        <w:rPr>
          <w:rFonts w:hint="eastAsia"/>
          <w:sz w:val="72"/>
          <w:szCs w:val="72"/>
        </w:rPr>
      </w:pPr>
    </w:p>
    <w:p>
      <w:pPr>
        <w:pStyle w:val="10"/>
        <w:jc w:val="center"/>
        <w:rPr>
          <w:rFonts w:hint="eastAsia"/>
          <w:sz w:val="72"/>
          <w:szCs w:val="72"/>
        </w:rPr>
      </w:pPr>
    </w:p>
    <w:p>
      <w:pPr>
        <w:pStyle w:val="10"/>
        <w:jc w:val="center"/>
        <w:rPr>
          <w:sz w:val="72"/>
          <w:szCs w:val="72"/>
        </w:rPr>
      </w:pPr>
      <w:r>
        <w:rPr>
          <w:rFonts w:hint="eastAsia"/>
          <w:sz w:val="72"/>
          <w:szCs w:val="72"/>
        </w:rPr>
        <w:t>第四部分</w:t>
      </w:r>
    </w:p>
    <w:p>
      <w:pPr>
        <w:jc w:val="center"/>
        <w:rPr>
          <w:rFonts w:ascii="黑体" w:eastAsia="黑体" w:cs="黑体"/>
          <w:color w:val="000000"/>
          <w:kern w:val="0"/>
          <w:sz w:val="72"/>
          <w:szCs w:val="72"/>
        </w:rPr>
      </w:pPr>
    </w:p>
    <w:p>
      <w:pPr>
        <w:jc w:val="center"/>
        <w:rPr>
          <w:rFonts w:ascii="黑体" w:eastAsia="黑体" w:cs="黑体"/>
          <w:color w:val="000000"/>
          <w:kern w:val="0"/>
          <w:sz w:val="72"/>
          <w:szCs w:val="72"/>
        </w:rPr>
      </w:pPr>
      <w:r>
        <w:rPr>
          <w:rFonts w:hint="eastAsia" w:ascii="黑体" w:eastAsia="黑体" w:cs="黑体"/>
          <w:color w:val="000000"/>
          <w:kern w:val="0"/>
          <w:sz w:val="72"/>
          <w:szCs w:val="72"/>
        </w:rPr>
        <w:t>名词解释</w:t>
      </w:r>
    </w:p>
    <w:p>
      <w:pPr>
        <w:jc w:val="left"/>
        <w:rPr>
          <w:rFonts w:hint="eastAsia" w:ascii="仿宋_GB2312" w:eastAsia="仿宋_GB2312" w:hAnsiTheme="minorHAnsi" w:cstheme="minorBidi"/>
          <w:color w:val="auto"/>
          <w:kern w:val="2"/>
          <w:sz w:val="32"/>
          <w:szCs w:val="32"/>
          <w:lang w:val="en-US" w:eastAsia="zh-CN" w:bidi="ar-SA"/>
        </w:rPr>
      </w:pPr>
      <w:r>
        <w:rPr>
          <w:rFonts w:ascii="黑体" w:eastAsia="黑体" w:cs="黑体"/>
          <w:color w:val="000000"/>
          <w:kern w:val="0"/>
          <w:sz w:val="70"/>
          <w:szCs w:val="70"/>
        </w:rPr>
        <w:br w:type="page"/>
      </w:r>
      <w:r>
        <w:rPr>
          <w:rFonts w:hint="eastAsia" w:ascii="黑体" w:eastAsia="黑体" w:cs="黑体"/>
          <w:color w:val="000000"/>
          <w:kern w:val="0"/>
          <w:sz w:val="70"/>
          <w:szCs w:val="70"/>
          <w:lang w:val="en-US" w:eastAsia="zh-CN"/>
        </w:rPr>
        <w:t xml:space="preserve">  </w:t>
      </w:r>
      <w:r>
        <w:rPr>
          <w:rFonts w:hint="eastAsia" w:ascii="仿宋_GB2312" w:eastAsia="仿宋_GB2312" w:hAnsiTheme="minorHAnsi" w:cstheme="minorBidi"/>
          <w:color w:val="auto"/>
          <w:kern w:val="2"/>
          <w:sz w:val="32"/>
          <w:szCs w:val="32"/>
          <w:lang w:val="en-US" w:eastAsia="zh-CN" w:bidi="ar-SA"/>
        </w:rPr>
        <w:t xml:space="preserve">一、财政拨款收入指财政当年拨付的资金。 </w:t>
      </w:r>
    </w:p>
    <w:p>
      <w:pPr>
        <w:ind w:firstLine="640" w:firstLineChars="200"/>
        <w:jc w:val="left"/>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 xml:space="preserve">二、事业收入指事业单位开展专业业务活动及辅助活动所取得的收入。      </w:t>
      </w:r>
    </w:p>
    <w:p>
      <w:pPr>
        <w:ind w:firstLine="640" w:firstLineChars="200"/>
        <w:jc w:val="left"/>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 xml:space="preserve">三、经营收入指事业单位在专业业务活动及其辅助活动之外开展非独立核算经营活动取得的收入。 </w:t>
      </w:r>
    </w:p>
    <w:p>
      <w:pPr>
        <w:ind w:firstLine="640" w:firstLineChars="200"/>
        <w:jc w:val="left"/>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四、其他收入指除上述“财政拨款收入”、“事业收入”、“经营收入”等以外的收入。主要是利息收入等。</w:t>
      </w:r>
    </w:p>
    <w:p>
      <w:pPr>
        <w:ind w:firstLine="640" w:firstLineChars="200"/>
        <w:jc w:val="left"/>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 xml:space="preserve">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ind w:firstLine="640" w:firstLineChars="200"/>
        <w:jc w:val="left"/>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六、年初结转和结余指以前年度尚未完成、结转到本年按有关规定继续使用的资金。</w:t>
      </w:r>
    </w:p>
    <w:p>
      <w:pPr>
        <w:ind w:firstLine="640" w:firstLineChars="200"/>
        <w:jc w:val="left"/>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 xml:space="preserve">七、结余分配指事业单位按规定提取的职工福利基金、事业基金和缴纳的所得税。 </w:t>
      </w:r>
    </w:p>
    <w:p>
      <w:pPr>
        <w:ind w:firstLine="640" w:firstLineChars="200"/>
        <w:jc w:val="left"/>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 xml:space="preserve">八、年末结转和结余指本年度或以前年度预算安排、因客观条件发生变化无法按原计划实施，需延迟到以后年度按有关规定继续使用的资金。  </w:t>
      </w:r>
    </w:p>
    <w:p>
      <w:pPr>
        <w:ind w:firstLine="640" w:firstLineChars="200"/>
        <w:jc w:val="left"/>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九、基本支出指为保障机构正常运转、完成日常工作任务而发生的人员支出和公用支出。</w:t>
      </w:r>
    </w:p>
    <w:p>
      <w:pPr>
        <w:ind w:firstLine="640" w:firstLineChars="200"/>
        <w:jc w:val="left"/>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 xml:space="preserve">十、项目支出指在基本支出之外为完成特定行政任务和事业发展目标所发生的支出。 </w:t>
      </w:r>
    </w:p>
    <w:p>
      <w:pPr>
        <w:ind w:firstLine="640" w:firstLineChars="200"/>
        <w:jc w:val="left"/>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十一、经营支出指事业单位在专业业务活动及其辅助活动之外开展非独立核算经营活动发生的支出。</w:t>
      </w:r>
    </w:p>
    <w:p>
      <w:pPr>
        <w:ind w:firstLine="640" w:firstLineChars="200"/>
        <w:jc w:val="left"/>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 xml:space="preserve">十二、“三公”经费：纳入财政预决算管理的“三公”经费，是指用财政拨款安排的因公出国(境)费、公务用车购置及运行费和公务接待费。其中，公务接待费反映单位按规定开支的各类公务接待支出；公务用车购置及运行费反映单位公务用车车辆购置支出（含车辆购置税），以及燃料费、维修费、保险费等支出； 因公出国（境）费反映单位公务出国（境）的国际旅费、国外城市间交通费、食宿费等支出。 </w:t>
      </w:r>
    </w:p>
    <w:p>
      <w:pPr>
        <w:ind w:firstLine="640" w:firstLineChars="200"/>
        <w:jc w:val="left"/>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jc w:val="left"/>
        <w:rPr>
          <w:rFonts w:hint="eastAsia" w:ascii="仿宋_GB2312" w:eastAsia="仿宋_GB2312" w:hAnsiTheme="minorHAnsi" w:cstheme="minorBidi"/>
          <w:color w:val="auto"/>
          <w:kern w:val="2"/>
          <w:sz w:val="32"/>
          <w:szCs w:val="32"/>
          <w:lang w:val="en-US" w:eastAsia="zh-CN" w:bidi="ar-SA"/>
        </w:rPr>
      </w:pPr>
    </w:p>
    <w:p>
      <w:pPr>
        <w:ind w:firstLine="640" w:firstLineChars="200"/>
        <w:jc w:val="left"/>
        <w:rPr>
          <w:rFonts w:hint="eastAsia" w:ascii="仿宋_GB2312" w:eastAsia="仿宋_GB2312" w:hAnsiTheme="minorHAnsi" w:cstheme="minorBidi"/>
          <w:color w:val="auto"/>
          <w:kern w:val="2"/>
          <w:sz w:val="32"/>
          <w:szCs w:val="32"/>
          <w:lang w:val="en-US" w:eastAsia="zh-CN" w:bidi="ar-SA"/>
        </w:rPr>
      </w:pPr>
    </w:p>
    <w:p>
      <w:pPr>
        <w:pStyle w:val="10"/>
        <w:jc w:val="center"/>
        <w:rPr>
          <w:rFonts w:hint="eastAsia" w:ascii="仿宋_GB2312" w:eastAsia="仿宋_GB2312" w:hAnsiTheme="minorHAnsi" w:cstheme="minorBidi"/>
          <w:color w:val="auto"/>
          <w:kern w:val="2"/>
          <w:sz w:val="32"/>
          <w:szCs w:val="32"/>
          <w:lang w:val="en-US" w:eastAsia="zh-CN" w:bidi="ar-SA"/>
        </w:rPr>
      </w:pPr>
    </w:p>
    <w:p>
      <w:pPr>
        <w:pStyle w:val="10"/>
        <w:jc w:val="center"/>
        <w:rPr>
          <w:rFonts w:hint="eastAsia" w:ascii="仿宋_GB2312" w:eastAsia="仿宋_GB2312" w:hAnsiTheme="minorHAnsi" w:cstheme="minorBidi"/>
          <w:color w:val="auto"/>
          <w:kern w:val="2"/>
          <w:sz w:val="32"/>
          <w:szCs w:val="32"/>
          <w:lang w:val="en-US" w:eastAsia="zh-CN" w:bidi="ar-SA"/>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both"/>
        <w:rPr>
          <w:sz w:val="72"/>
          <w:szCs w:val="72"/>
        </w:rPr>
      </w:pPr>
    </w:p>
    <w:p>
      <w:pPr>
        <w:pStyle w:val="10"/>
        <w:jc w:val="center"/>
        <w:rPr>
          <w:sz w:val="72"/>
          <w:szCs w:val="72"/>
        </w:rPr>
      </w:pPr>
      <w:r>
        <w:rPr>
          <w:rFonts w:hint="eastAsia"/>
          <w:sz w:val="72"/>
          <w:szCs w:val="72"/>
        </w:rPr>
        <w:t>第五部分</w:t>
      </w:r>
    </w:p>
    <w:p>
      <w:pPr>
        <w:jc w:val="center"/>
        <w:rPr>
          <w:rFonts w:ascii="黑体" w:eastAsia="黑体" w:cs="黑体"/>
          <w:color w:val="000000"/>
          <w:kern w:val="0"/>
          <w:sz w:val="72"/>
          <w:szCs w:val="72"/>
        </w:rPr>
      </w:pPr>
    </w:p>
    <w:p>
      <w:pPr>
        <w:jc w:val="center"/>
        <w:rPr>
          <w:rFonts w:ascii="黑体" w:eastAsia="黑体" w:cs="黑体"/>
          <w:color w:val="000000"/>
          <w:kern w:val="0"/>
          <w:sz w:val="72"/>
          <w:szCs w:val="72"/>
        </w:rPr>
      </w:pPr>
      <w:r>
        <w:rPr>
          <w:rFonts w:hint="eastAsia" w:ascii="黑体" w:eastAsia="黑体" w:cs="黑体"/>
          <w:color w:val="000000"/>
          <w:kern w:val="0"/>
          <w:sz w:val="72"/>
          <w:szCs w:val="72"/>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720" w:firstLineChars="200"/>
        <w:jc w:val="center"/>
        <w:rPr>
          <w:rFonts w:cs="黑体" w:asciiTheme="minorEastAsia" w:hAnsiTheme="minorEastAsia"/>
          <w:b/>
          <w:color w:val="000000"/>
          <w:kern w:val="0"/>
          <w:sz w:val="36"/>
          <w:szCs w:val="36"/>
        </w:rPr>
      </w:pPr>
      <w:r>
        <w:rPr>
          <w:rFonts w:hint="eastAsia" w:cs="黑体" w:asciiTheme="minorEastAsia" w:hAnsiTheme="minorEastAsia"/>
          <w:b/>
          <w:color w:val="000000"/>
          <w:kern w:val="0"/>
          <w:sz w:val="36"/>
          <w:szCs w:val="36"/>
        </w:rPr>
        <w:t>2021年度部门整体支出绩效评价报告</w:t>
      </w:r>
    </w:p>
    <w:p>
      <w:pPr>
        <w:spacing w:line="600" w:lineRule="exact"/>
        <w:ind w:firstLine="640" w:firstLineChars="200"/>
        <w:rPr>
          <w:rFonts w:eastAsia="黑体"/>
          <w:sz w:val="32"/>
          <w:szCs w:val="32"/>
        </w:rPr>
      </w:pPr>
      <w:r>
        <w:rPr>
          <w:rFonts w:eastAsia="黑体"/>
          <w:sz w:val="32"/>
          <w:szCs w:val="32"/>
        </w:rPr>
        <w:t>一、基本情况</w:t>
      </w:r>
    </w:p>
    <w:p>
      <w:pPr>
        <w:spacing w:line="600" w:lineRule="exact"/>
        <w:ind w:firstLine="640" w:firstLineChars="200"/>
        <w:rPr>
          <w:rFonts w:eastAsia="楷体_GB2312"/>
          <w:b/>
          <w:sz w:val="32"/>
          <w:szCs w:val="32"/>
        </w:rPr>
      </w:pPr>
      <w:r>
        <w:rPr>
          <w:rFonts w:eastAsia="楷体_GB2312"/>
          <w:b/>
          <w:sz w:val="32"/>
          <w:szCs w:val="32"/>
        </w:rPr>
        <w:t>（一）部门（单位）基本情况</w:t>
      </w:r>
    </w:p>
    <w:p>
      <w:pPr>
        <w:ind w:firstLine="640" w:firstLineChars="200"/>
        <w:rPr>
          <w:rFonts w:ascii="仿宋_GB2312" w:hAnsi="仿宋" w:eastAsia="仿宋_GB2312"/>
          <w:sz w:val="32"/>
          <w:szCs w:val="32"/>
        </w:rPr>
      </w:pPr>
      <w:r>
        <w:rPr>
          <w:rFonts w:hint="eastAsia" w:ascii="仿宋_GB2312" w:hAnsi="仿宋" w:eastAsia="仿宋_GB2312"/>
          <w:sz w:val="32"/>
          <w:szCs w:val="32"/>
        </w:rPr>
        <w:t>我单位是属湖南省生态环境厅和湖南省科技厅双重领导下的社会公益二类事业单位。主要职能：一是支撑管理。作为我省环保科技智囊，为生态环境厅环境管理做好技术支撑。二是科技研发。申报或承担国家、省内相关纵向环保科研课题和应用研究。三是开展相关的横向以及环保咨询业务，弥补我院差额拨款单位事业费不足。</w:t>
      </w:r>
    </w:p>
    <w:p>
      <w:pPr>
        <w:snapToGrid w:val="0"/>
        <w:spacing w:line="530" w:lineRule="exact"/>
        <w:ind w:firstLine="640" w:firstLineChars="200"/>
        <w:rPr>
          <w:rFonts w:ascii="仿宋_GB2312" w:hAnsi="仿宋" w:eastAsia="仿宋_GB2312"/>
          <w:sz w:val="32"/>
          <w:szCs w:val="32"/>
        </w:rPr>
      </w:pPr>
      <w:r>
        <w:rPr>
          <w:rFonts w:hint="eastAsia" w:ascii="仿宋_GB2312" w:hAnsi="仿宋" w:eastAsia="仿宋_GB2312"/>
          <w:sz w:val="32"/>
          <w:szCs w:val="32"/>
        </w:rPr>
        <w:t>我单位年末独立核算机构为1个，单位性质为财政补助事业单位。</w:t>
      </w:r>
    </w:p>
    <w:p>
      <w:pPr>
        <w:snapToGrid w:val="0"/>
        <w:spacing w:line="530" w:lineRule="exact"/>
        <w:ind w:firstLine="640" w:firstLineChars="200"/>
        <w:rPr>
          <w:rFonts w:ascii="仿宋_GB2312" w:hAnsi="仿宋" w:eastAsia="仿宋_GB2312"/>
          <w:sz w:val="32"/>
          <w:szCs w:val="32"/>
        </w:rPr>
      </w:pPr>
      <w:r>
        <w:rPr>
          <w:rFonts w:hint="eastAsia" w:ascii="仿宋_GB2312" w:hAnsi="仿宋" w:eastAsia="仿宋_GB2312"/>
          <w:sz w:val="32"/>
          <w:szCs w:val="32"/>
        </w:rPr>
        <w:t>我单位2021年在职人员编制136人，年末实有在职人员122人，离退休人员63人，实有在编人数合计185人</w:t>
      </w:r>
      <w:r>
        <w:rPr>
          <w:rFonts w:hint="eastAsia" w:ascii="仿宋_GB2312" w:eastAsia="仿宋_GB2312"/>
          <w:sz w:val="32"/>
          <w:szCs w:val="32"/>
        </w:rPr>
        <w:t>。</w:t>
      </w:r>
    </w:p>
    <w:p>
      <w:pPr>
        <w:spacing w:line="600" w:lineRule="exact"/>
        <w:ind w:firstLine="640" w:firstLineChars="200"/>
        <w:rPr>
          <w:rFonts w:eastAsia="楷体_GB2312"/>
          <w:b/>
          <w:sz w:val="32"/>
          <w:szCs w:val="32"/>
        </w:rPr>
      </w:pPr>
      <w:r>
        <w:rPr>
          <w:rFonts w:eastAsia="楷体_GB2312"/>
          <w:b/>
          <w:sz w:val="32"/>
          <w:szCs w:val="32"/>
        </w:rPr>
        <w:t>（二）部门（单位）年度整体支出绩效目标</w:t>
      </w:r>
    </w:p>
    <w:p>
      <w:pPr>
        <w:pStyle w:val="11"/>
        <w:spacing w:line="560" w:lineRule="exact"/>
        <w:ind w:firstLine="640"/>
        <w:rPr>
          <w:rFonts w:ascii="仿宋_GB2312" w:hAnsi="宋体" w:eastAsia="仿宋_GB2312" w:cs="宋体"/>
          <w:kern w:val="0"/>
          <w:sz w:val="32"/>
          <w:szCs w:val="32"/>
        </w:rPr>
      </w:pPr>
      <w:r>
        <w:rPr>
          <w:rFonts w:hint="eastAsia" w:ascii="仿宋_GB2312" w:hAnsi="宋体" w:eastAsia="仿宋_GB2312" w:cs="宋体"/>
          <w:kern w:val="0"/>
          <w:sz w:val="32"/>
          <w:szCs w:val="32"/>
        </w:rPr>
        <w:t>以习近平新时代中国特色社会主义思想为指导，全面贯彻党的十九大和十九届一中、二中、三中、四中、五中全会精神，深入学习习近平生态文明思想和习近平总书记在湘考察重要指示精神，紧紧围绕“三高四新”战略，聚焦精准治污、科学治污、依法治污、系统治污，打造生态环保科技铁军。进一步统筹全院发展改革工作，推进我院治理体系和治理能力现代化，为“十四五”生态环境保护起好步、开好局，以优异成绩迎接中国共产党建党100周年。</w:t>
      </w:r>
    </w:p>
    <w:p>
      <w:pPr>
        <w:pStyle w:val="11"/>
        <w:spacing w:line="560" w:lineRule="exact"/>
        <w:ind w:firstLine="419" w:firstLineChars="131"/>
        <w:rPr>
          <w:rFonts w:ascii="仿宋_GB2312" w:eastAsia="仿宋_GB2312"/>
          <w:sz w:val="32"/>
          <w:szCs w:val="32"/>
        </w:rPr>
      </w:pPr>
      <w:r>
        <w:rPr>
          <w:rFonts w:hint="eastAsia" w:ascii="仿宋" w:hAnsi="仿宋" w:eastAsia="仿宋" w:cs="仿宋"/>
          <w:b/>
          <w:bCs/>
          <w:color w:val="000000"/>
          <w:sz w:val="32"/>
          <w:szCs w:val="32"/>
        </w:rPr>
        <w:t>（1）科研规划目标</w:t>
      </w:r>
      <w:r>
        <w:rPr>
          <w:rFonts w:hint="eastAsia" w:ascii="仿宋_GB2312" w:eastAsia="仿宋_GB2312"/>
          <w:sz w:val="32"/>
          <w:szCs w:val="32"/>
        </w:rPr>
        <w:t>：</w:t>
      </w:r>
      <w:r>
        <w:rPr>
          <w:rFonts w:hint="eastAsia" w:ascii="仿宋_GB2312" w:hAnsi="Times New Roman" w:eastAsia="仿宋_GB2312"/>
          <w:sz w:val="32"/>
          <w:szCs w:val="32"/>
        </w:rPr>
        <w:t>立项</w:t>
      </w:r>
      <w:r>
        <w:rPr>
          <w:rFonts w:hint="eastAsia" w:ascii="仿宋_GB2312" w:hAnsi="Times New Roman" w:eastAsia="仿宋_GB2312"/>
          <w:b/>
          <w:sz w:val="32"/>
          <w:szCs w:val="32"/>
        </w:rPr>
        <w:t>40</w:t>
      </w:r>
      <w:r>
        <w:rPr>
          <w:rFonts w:hint="eastAsia" w:ascii="仿宋_GB2312" w:hAnsi="Times New Roman" w:eastAsia="仿宋_GB2312"/>
          <w:sz w:val="32"/>
          <w:szCs w:val="32"/>
        </w:rPr>
        <w:t>项科研、专项项目，发表高水平学术论文</w:t>
      </w:r>
      <w:r>
        <w:rPr>
          <w:rFonts w:hint="eastAsia" w:ascii="仿宋_GB2312" w:hAnsi="Times New Roman" w:eastAsia="仿宋_GB2312"/>
          <w:b/>
          <w:sz w:val="32"/>
          <w:szCs w:val="32"/>
        </w:rPr>
        <w:t>25</w:t>
      </w:r>
      <w:r>
        <w:rPr>
          <w:rFonts w:hint="eastAsia" w:ascii="仿宋_GB2312" w:hAnsi="Times New Roman" w:eastAsia="仿宋_GB2312"/>
          <w:sz w:val="32"/>
          <w:szCs w:val="32"/>
        </w:rPr>
        <w:t>篇，新申报各类专利</w:t>
      </w:r>
      <w:r>
        <w:rPr>
          <w:rFonts w:hint="eastAsia" w:ascii="仿宋_GB2312" w:hAnsi="Times New Roman" w:eastAsia="仿宋_GB2312"/>
          <w:b/>
          <w:sz w:val="32"/>
          <w:szCs w:val="32"/>
        </w:rPr>
        <w:t>10</w:t>
      </w:r>
      <w:r>
        <w:rPr>
          <w:rFonts w:hint="eastAsia" w:ascii="仿宋_GB2312" w:hAnsi="Times New Roman" w:eastAsia="仿宋_GB2312"/>
          <w:sz w:val="32"/>
          <w:szCs w:val="32"/>
        </w:rPr>
        <w:t>项，完成成果鉴定</w:t>
      </w:r>
      <w:r>
        <w:rPr>
          <w:rFonts w:hint="eastAsia" w:ascii="仿宋_GB2312" w:hAnsi="Times New Roman" w:eastAsia="仿宋_GB2312"/>
          <w:b/>
          <w:sz w:val="32"/>
          <w:szCs w:val="32"/>
        </w:rPr>
        <w:t>2</w:t>
      </w:r>
      <w:r>
        <w:rPr>
          <w:rFonts w:hint="eastAsia" w:ascii="仿宋_GB2312" w:hAnsi="Times New Roman" w:eastAsia="仿宋_GB2312"/>
          <w:sz w:val="32"/>
          <w:szCs w:val="32"/>
        </w:rPr>
        <w:t>项。</w:t>
      </w:r>
    </w:p>
    <w:p>
      <w:pPr>
        <w:pStyle w:val="11"/>
        <w:spacing w:line="560" w:lineRule="exact"/>
        <w:ind w:firstLine="0" w:firstLineChars="0"/>
        <w:rPr>
          <w:rFonts w:ascii="仿宋_GB2312" w:eastAsia="仿宋_GB2312"/>
          <w:sz w:val="32"/>
          <w:szCs w:val="32"/>
        </w:rPr>
      </w:pPr>
      <w:r>
        <w:rPr>
          <w:rFonts w:hint="eastAsia" w:ascii="仿宋_GB2312" w:eastAsia="仿宋_GB2312"/>
          <w:sz w:val="32"/>
          <w:szCs w:val="32"/>
        </w:rPr>
        <w:t xml:space="preserve">   </w:t>
      </w:r>
      <w:r>
        <w:rPr>
          <w:rFonts w:hint="eastAsia" w:ascii="仿宋" w:hAnsi="仿宋" w:eastAsia="仿宋" w:cs="仿宋"/>
          <w:b/>
          <w:bCs/>
          <w:color w:val="000000"/>
          <w:sz w:val="32"/>
          <w:szCs w:val="32"/>
        </w:rPr>
        <w:t>（2）经营任务目标</w:t>
      </w:r>
      <w:r>
        <w:rPr>
          <w:rFonts w:hint="eastAsia" w:ascii="仿宋_GB2312" w:eastAsia="仿宋_GB2312"/>
          <w:sz w:val="32"/>
          <w:szCs w:val="32"/>
        </w:rPr>
        <w:t>：</w:t>
      </w:r>
      <w:r>
        <w:rPr>
          <w:rFonts w:hint="eastAsia" w:ascii="仿宋_GB2312" w:eastAsia="仿宋_GB2312"/>
          <w:b/>
          <w:sz w:val="32"/>
          <w:szCs w:val="32"/>
        </w:rPr>
        <w:t>2400</w:t>
      </w:r>
      <w:r>
        <w:rPr>
          <w:rFonts w:hint="eastAsia" w:ascii="仿宋_GB2312" w:eastAsia="仿宋_GB2312"/>
          <w:sz w:val="32"/>
          <w:szCs w:val="32"/>
        </w:rPr>
        <w:t>万元。</w:t>
      </w:r>
    </w:p>
    <w:p>
      <w:pPr>
        <w:pStyle w:val="11"/>
        <w:spacing w:line="600" w:lineRule="exact"/>
        <w:ind w:firstLine="0" w:firstLineChars="0"/>
        <w:rPr>
          <w:rFonts w:ascii="Times New Roman" w:hAnsi="Times New Roman" w:eastAsia="黑体"/>
          <w:sz w:val="32"/>
          <w:szCs w:val="32"/>
        </w:rPr>
      </w:pPr>
      <w:r>
        <w:rPr>
          <w:rFonts w:hint="eastAsia" w:ascii="仿宋_GB2312" w:hAnsi="仿宋" w:eastAsia="仿宋_GB2312"/>
          <w:sz w:val="32"/>
          <w:szCs w:val="32"/>
        </w:rPr>
        <w:t xml:space="preserve">    </w:t>
      </w:r>
      <w:r>
        <w:rPr>
          <w:rFonts w:ascii="Times New Roman" w:hAnsi="Times New Roman" w:eastAsia="黑体"/>
          <w:sz w:val="32"/>
          <w:szCs w:val="32"/>
        </w:rPr>
        <w:t>二、一般公共预算支出情况</w:t>
      </w:r>
    </w:p>
    <w:p>
      <w:pPr>
        <w:pStyle w:val="11"/>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pPr>
        <w:pStyle w:val="11"/>
        <w:spacing w:line="600" w:lineRule="exact"/>
        <w:ind w:firstLine="640"/>
        <w:rPr>
          <w:rFonts w:ascii="仿宋_GB2312" w:hAnsi="仿宋" w:eastAsia="仿宋_GB2312"/>
          <w:sz w:val="32"/>
          <w:szCs w:val="32"/>
        </w:rPr>
      </w:pPr>
      <w:r>
        <w:rPr>
          <w:rFonts w:hint="eastAsia" w:ascii="仿宋_GB2312" w:hAnsi="仿宋" w:eastAsia="仿宋_GB2312"/>
          <w:sz w:val="32"/>
          <w:szCs w:val="32"/>
        </w:rPr>
        <w:t>2021年基本支出3309.78万元，其中工资福利支出2538.78万元；商品和服务支出612.25万元；对个人和家庭的补助147.45万元;资本性支出11.3万元。</w:t>
      </w:r>
    </w:p>
    <w:p>
      <w:pPr>
        <w:pStyle w:val="11"/>
        <w:spacing w:line="600" w:lineRule="exact"/>
        <w:ind w:firstLine="640"/>
        <w:rPr>
          <w:rFonts w:ascii="仿宋_GB2312" w:hAnsi="仿宋" w:eastAsia="仿宋_GB2312"/>
          <w:sz w:val="32"/>
          <w:szCs w:val="32"/>
        </w:rPr>
      </w:pPr>
      <w:r>
        <w:rPr>
          <w:rFonts w:hint="eastAsia" w:ascii="仿宋_GB2312" w:hAnsi="仿宋" w:eastAsia="仿宋_GB2312"/>
          <w:sz w:val="32"/>
          <w:szCs w:val="32"/>
        </w:rPr>
        <w:t>公务用车运行维护费8.45万元，年初预算25万元，执行率33.8%。公务接待费0.86万元，年初预算10万元，执行率8.6%。因公出国（境）费用无支出。</w:t>
      </w:r>
    </w:p>
    <w:p>
      <w:pPr>
        <w:pStyle w:val="11"/>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（二）项目支出情况</w:t>
      </w:r>
    </w:p>
    <w:p>
      <w:pPr>
        <w:spacing w:line="600" w:lineRule="exact"/>
        <w:ind w:firstLine="640" w:firstLineChars="200"/>
        <w:rPr>
          <w:rFonts w:eastAsia="仿宋_GB2312"/>
          <w:color w:val="FF0000"/>
          <w:sz w:val="32"/>
          <w:szCs w:val="32"/>
        </w:rPr>
      </w:pPr>
      <w:r>
        <w:rPr>
          <w:rFonts w:hint="eastAsia" w:eastAsia="仿宋_GB2312"/>
          <w:sz w:val="32"/>
          <w:szCs w:val="32"/>
        </w:rPr>
        <w:t>（1）2021</w:t>
      </w:r>
      <w:r>
        <w:rPr>
          <w:rFonts w:eastAsia="仿宋_GB2312"/>
          <w:sz w:val="32"/>
          <w:szCs w:val="32"/>
        </w:rPr>
        <w:t>年度省级专项资金</w:t>
      </w:r>
      <w:r>
        <w:rPr>
          <w:rFonts w:hint="eastAsia" w:eastAsia="仿宋_GB2312"/>
          <w:sz w:val="32"/>
          <w:szCs w:val="32"/>
        </w:rPr>
        <w:t xml:space="preserve">1167万元，项目资金及使用情况见下表：     </w:t>
      </w:r>
      <w:r>
        <w:rPr>
          <w:rFonts w:hint="eastAsia" w:eastAsia="仿宋_GB2312"/>
          <w:color w:val="FF0000"/>
          <w:sz w:val="32"/>
          <w:szCs w:val="32"/>
        </w:rPr>
        <w:t xml:space="preserve">             </w:t>
      </w:r>
    </w:p>
    <w:tbl>
      <w:tblPr>
        <w:tblStyle w:val="6"/>
        <w:tblW w:w="8445" w:type="dxa"/>
        <w:tblInd w:w="103" w:type="dxa"/>
        <w:tblLayout w:type="autofit"/>
        <w:tblCellMar>
          <w:top w:w="0" w:type="dxa"/>
          <w:left w:w="108" w:type="dxa"/>
          <w:bottom w:w="0" w:type="dxa"/>
          <w:right w:w="108" w:type="dxa"/>
        </w:tblCellMar>
      </w:tblPr>
      <w:tblGrid>
        <w:gridCol w:w="3833"/>
        <w:gridCol w:w="1795"/>
        <w:gridCol w:w="1748"/>
        <w:gridCol w:w="1069"/>
      </w:tblGrid>
      <w:tr>
        <w:tblPrEx>
          <w:tblCellMar>
            <w:top w:w="0" w:type="dxa"/>
            <w:left w:w="108" w:type="dxa"/>
            <w:bottom w:w="0" w:type="dxa"/>
            <w:right w:w="108" w:type="dxa"/>
          </w:tblCellMar>
        </w:tblPrEx>
        <w:trPr>
          <w:trHeight w:val="540" w:hRule="atLeast"/>
        </w:trPr>
        <w:tc>
          <w:tcPr>
            <w:tcW w:w="3833"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项目名称</w:t>
            </w:r>
          </w:p>
        </w:tc>
        <w:tc>
          <w:tcPr>
            <w:tcW w:w="1795" w:type="dxa"/>
            <w:tcBorders>
              <w:top w:val="single" w:color="auto" w:sz="8" w:space="0"/>
              <w:left w:val="nil"/>
              <w:bottom w:val="single" w:color="auto" w:sz="8" w:space="0"/>
              <w:right w:val="single" w:color="auto" w:sz="4" w:space="0"/>
            </w:tcBorders>
            <w:shd w:val="clear" w:color="auto" w:fill="auto"/>
            <w:noWrap/>
            <w:vAlign w:val="center"/>
          </w:tcPr>
          <w:p>
            <w:pPr>
              <w:widowControl/>
              <w:jc w:val="center"/>
              <w:rPr>
                <w:rFonts w:ascii="仿宋" w:hAnsi="仿宋" w:eastAsia="仿宋" w:cs="宋体"/>
                <w:kern w:val="0"/>
                <w:sz w:val="24"/>
              </w:rPr>
            </w:pPr>
            <w:r>
              <w:rPr>
                <w:rFonts w:hint="eastAsia" w:ascii="仿宋" w:hAnsi="仿宋" w:eastAsia="仿宋" w:cs="宋体"/>
                <w:kern w:val="0"/>
                <w:sz w:val="24"/>
              </w:rPr>
              <w:t>合同额</w:t>
            </w:r>
          </w:p>
        </w:tc>
        <w:tc>
          <w:tcPr>
            <w:tcW w:w="1748" w:type="dxa"/>
            <w:tcBorders>
              <w:top w:val="single" w:color="auto" w:sz="8" w:space="0"/>
              <w:left w:val="nil"/>
              <w:bottom w:val="single" w:color="auto" w:sz="8" w:space="0"/>
              <w:right w:val="single" w:color="auto" w:sz="4" w:space="0"/>
            </w:tcBorders>
            <w:shd w:val="clear" w:color="auto" w:fill="auto"/>
            <w:vAlign w:val="center"/>
          </w:tcPr>
          <w:p>
            <w:pPr>
              <w:widowControl/>
              <w:jc w:val="center"/>
              <w:rPr>
                <w:rFonts w:ascii="仿宋" w:hAnsi="仿宋" w:eastAsia="仿宋" w:cs="宋体"/>
                <w:bCs/>
                <w:kern w:val="0"/>
                <w:sz w:val="24"/>
              </w:rPr>
            </w:pPr>
            <w:r>
              <w:rPr>
                <w:rFonts w:hint="eastAsia" w:ascii="仿宋" w:hAnsi="仿宋" w:eastAsia="仿宋" w:cs="宋体"/>
                <w:bCs/>
                <w:kern w:val="0"/>
                <w:sz w:val="24"/>
              </w:rPr>
              <w:t>2021年支出数</w:t>
            </w:r>
          </w:p>
        </w:tc>
        <w:tc>
          <w:tcPr>
            <w:tcW w:w="1069" w:type="dxa"/>
            <w:tcBorders>
              <w:top w:val="single" w:color="auto" w:sz="8" w:space="0"/>
              <w:left w:val="nil"/>
              <w:bottom w:val="single" w:color="auto" w:sz="8" w:space="0"/>
              <w:right w:val="single" w:color="auto" w:sz="4" w:space="0"/>
            </w:tcBorders>
            <w:shd w:val="clear" w:color="auto" w:fill="auto"/>
            <w:vAlign w:val="center"/>
          </w:tcPr>
          <w:p>
            <w:pPr>
              <w:widowControl/>
              <w:jc w:val="center"/>
              <w:rPr>
                <w:rFonts w:ascii="仿宋" w:hAnsi="仿宋" w:eastAsia="仿宋" w:cs="宋体"/>
                <w:bCs/>
                <w:kern w:val="0"/>
                <w:sz w:val="24"/>
              </w:rPr>
            </w:pPr>
            <w:r>
              <w:rPr>
                <w:rFonts w:hint="eastAsia" w:ascii="仿宋" w:hAnsi="仿宋" w:eastAsia="仿宋" w:cs="宋体"/>
                <w:bCs/>
                <w:kern w:val="0"/>
                <w:sz w:val="24"/>
              </w:rPr>
              <w:t>执行率</w:t>
            </w:r>
          </w:p>
        </w:tc>
      </w:tr>
      <w:tr>
        <w:tblPrEx>
          <w:tblCellMar>
            <w:top w:w="0" w:type="dxa"/>
            <w:left w:w="108" w:type="dxa"/>
            <w:bottom w:w="0" w:type="dxa"/>
            <w:right w:w="108" w:type="dxa"/>
          </w:tblCellMar>
        </w:tblPrEx>
        <w:trPr>
          <w:trHeight w:val="540" w:hRule="atLeast"/>
        </w:trPr>
        <w:tc>
          <w:tcPr>
            <w:tcW w:w="3833" w:type="dxa"/>
            <w:tcBorders>
              <w:top w:val="single" w:color="auto" w:sz="8" w:space="0"/>
              <w:left w:val="single" w:color="auto" w:sz="4" w:space="0"/>
              <w:bottom w:val="single" w:color="auto" w:sz="8" w:space="0"/>
              <w:right w:val="single" w:color="auto" w:sz="4"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 xml:space="preserve">  提前下达2021年土壤污染防治专项资金</w:t>
            </w:r>
          </w:p>
        </w:tc>
        <w:tc>
          <w:tcPr>
            <w:tcW w:w="1795" w:type="dxa"/>
            <w:tcBorders>
              <w:top w:val="single" w:color="auto" w:sz="8" w:space="0"/>
              <w:left w:val="nil"/>
              <w:bottom w:val="single" w:color="auto" w:sz="8" w:space="0"/>
              <w:right w:val="single" w:color="auto" w:sz="4" w:space="0"/>
            </w:tcBorders>
            <w:shd w:val="clear" w:color="auto" w:fill="auto"/>
            <w:noWrap/>
            <w:vAlign w:val="center"/>
          </w:tcPr>
          <w:p>
            <w:pPr>
              <w:widowControl/>
              <w:jc w:val="center"/>
              <w:rPr>
                <w:rFonts w:ascii="仿宋" w:hAnsi="仿宋" w:eastAsia="仿宋" w:cs="宋体"/>
                <w:kern w:val="0"/>
                <w:sz w:val="24"/>
              </w:rPr>
            </w:pPr>
            <w:r>
              <w:rPr>
                <w:rFonts w:hint="eastAsia" w:ascii="仿宋" w:hAnsi="仿宋" w:eastAsia="仿宋" w:cs="宋体"/>
                <w:kern w:val="0"/>
                <w:sz w:val="24"/>
              </w:rPr>
              <w:t>666</w:t>
            </w:r>
          </w:p>
        </w:tc>
        <w:tc>
          <w:tcPr>
            <w:tcW w:w="1748" w:type="dxa"/>
            <w:tcBorders>
              <w:top w:val="single" w:color="auto" w:sz="8" w:space="0"/>
              <w:left w:val="nil"/>
              <w:bottom w:val="single" w:color="auto" w:sz="8" w:space="0"/>
              <w:right w:val="single" w:color="auto" w:sz="4" w:space="0"/>
            </w:tcBorders>
            <w:shd w:val="clear" w:color="auto" w:fill="auto"/>
            <w:vAlign w:val="center"/>
          </w:tcPr>
          <w:p>
            <w:pPr>
              <w:jc w:val="center"/>
              <w:rPr>
                <w:rFonts w:ascii="仿宋" w:hAnsi="仿宋" w:eastAsia="仿宋" w:cs="宋体"/>
                <w:kern w:val="0"/>
                <w:sz w:val="24"/>
              </w:rPr>
            </w:pPr>
            <w:r>
              <w:rPr>
                <w:rFonts w:hint="eastAsia" w:ascii="仿宋" w:hAnsi="仿宋" w:eastAsia="仿宋" w:cs="宋体"/>
                <w:kern w:val="0"/>
                <w:sz w:val="24"/>
              </w:rPr>
              <w:t>590.28</w:t>
            </w:r>
          </w:p>
        </w:tc>
        <w:tc>
          <w:tcPr>
            <w:tcW w:w="1069" w:type="dxa"/>
            <w:tcBorders>
              <w:top w:val="single" w:color="auto" w:sz="8" w:space="0"/>
              <w:left w:val="nil"/>
              <w:bottom w:val="single" w:color="auto" w:sz="8"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88.63%</w:t>
            </w:r>
          </w:p>
        </w:tc>
      </w:tr>
      <w:tr>
        <w:tblPrEx>
          <w:tblCellMar>
            <w:top w:w="0" w:type="dxa"/>
            <w:left w:w="108" w:type="dxa"/>
            <w:bottom w:w="0" w:type="dxa"/>
            <w:right w:w="108" w:type="dxa"/>
          </w:tblCellMar>
        </w:tblPrEx>
        <w:trPr>
          <w:trHeight w:val="540" w:hRule="atLeast"/>
        </w:trPr>
        <w:tc>
          <w:tcPr>
            <w:tcW w:w="3833" w:type="dxa"/>
            <w:tcBorders>
              <w:top w:val="single" w:color="auto" w:sz="8" w:space="0"/>
              <w:left w:val="single" w:color="auto" w:sz="4" w:space="0"/>
              <w:bottom w:val="single" w:color="auto" w:sz="8" w:space="0"/>
              <w:right w:val="single" w:color="auto" w:sz="4"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 xml:space="preserve">  创新型省份建设专项</w:t>
            </w:r>
          </w:p>
        </w:tc>
        <w:tc>
          <w:tcPr>
            <w:tcW w:w="1795" w:type="dxa"/>
            <w:tcBorders>
              <w:top w:val="single" w:color="auto" w:sz="8" w:space="0"/>
              <w:left w:val="nil"/>
              <w:bottom w:val="single" w:color="auto" w:sz="8" w:space="0"/>
              <w:right w:val="single" w:color="auto" w:sz="4" w:space="0"/>
            </w:tcBorders>
            <w:shd w:val="clear" w:color="auto" w:fill="auto"/>
            <w:noWrap/>
            <w:vAlign w:val="center"/>
          </w:tcPr>
          <w:p>
            <w:pPr>
              <w:widowControl/>
              <w:jc w:val="center"/>
              <w:rPr>
                <w:rFonts w:ascii="仿宋" w:hAnsi="仿宋" w:eastAsia="仿宋" w:cs="宋体"/>
                <w:kern w:val="0"/>
                <w:sz w:val="24"/>
              </w:rPr>
            </w:pPr>
            <w:r>
              <w:rPr>
                <w:rFonts w:hint="eastAsia" w:ascii="仿宋" w:hAnsi="仿宋" w:eastAsia="仿宋" w:cs="宋体"/>
                <w:kern w:val="0"/>
                <w:sz w:val="24"/>
              </w:rPr>
              <w:t>276</w:t>
            </w:r>
          </w:p>
        </w:tc>
        <w:tc>
          <w:tcPr>
            <w:tcW w:w="1748" w:type="dxa"/>
            <w:tcBorders>
              <w:top w:val="single" w:color="auto" w:sz="8" w:space="0"/>
              <w:left w:val="nil"/>
              <w:bottom w:val="single" w:color="auto" w:sz="8" w:space="0"/>
              <w:right w:val="single" w:color="auto" w:sz="4" w:space="0"/>
            </w:tcBorders>
            <w:shd w:val="clear" w:color="auto" w:fill="auto"/>
            <w:vAlign w:val="center"/>
          </w:tcPr>
          <w:p>
            <w:pPr>
              <w:jc w:val="center"/>
              <w:rPr>
                <w:rFonts w:ascii="仿宋" w:hAnsi="仿宋" w:eastAsia="仿宋" w:cs="宋体"/>
                <w:kern w:val="0"/>
                <w:sz w:val="24"/>
              </w:rPr>
            </w:pPr>
            <w:r>
              <w:rPr>
                <w:rFonts w:hint="eastAsia" w:ascii="仿宋" w:hAnsi="仿宋" w:eastAsia="仿宋" w:cs="宋体"/>
                <w:kern w:val="0"/>
                <w:sz w:val="24"/>
              </w:rPr>
              <w:t>187.73</w:t>
            </w:r>
          </w:p>
        </w:tc>
        <w:tc>
          <w:tcPr>
            <w:tcW w:w="1069" w:type="dxa"/>
            <w:tcBorders>
              <w:top w:val="single" w:color="auto" w:sz="8" w:space="0"/>
              <w:left w:val="nil"/>
              <w:bottom w:val="single" w:color="auto" w:sz="8"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68.02%</w:t>
            </w:r>
          </w:p>
        </w:tc>
      </w:tr>
      <w:tr>
        <w:tblPrEx>
          <w:tblCellMar>
            <w:top w:w="0" w:type="dxa"/>
            <w:left w:w="108" w:type="dxa"/>
            <w:bottom w:w="0" w:type="dxa"/>
            <w:right w:w="108" w:type="dxa"/>
          </w:tblCellMar>
        </w:tblPrEx>
        <w:trPr>
          <w:trHeight w:val="540" w:hRule="atLeast"/>
        </w:trPr>
        <w:tc>
          <w:tcPr>
            <w:tcW w:w="3833" w:type="dxa"/>
            <w:tcBorders>
              <w:top w:val="single" w:color="auto" w:sz="8" w:space="0"/>
              <w:left w:val="single" w:color="auto" w:sz="4" w:space="0"/>
              <w:bottom w:val="single" w:color="auto" w:sz="8" w:space="0"/>
              <w:right w:val="single" w:color="auto" w:sz="4"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 xml:space="preserve">  2015-2020年湖南省生态状况变化遥感调查评估</w:t>
            </w:r>
          </w:p>
        </w:tc>
        <w:tc>
          <w:tcPr>
            <w:tcW w:w="1795" w:type="dxa"/>
            <w:tcBorders>
              <w:top w:val="single" w:color="auto" w:sz="8" w:space="0"/>
              <w:left w:val="nil"/>
              <w:bottom w:val="single" w:color="auto" w:sz="8" w:space="0"/>
              <w:right w:val="single" w:color="auto" w:sz="4" w:space="0"/>
            </w:tcBorders>
            <w:shd w:val="clear" w:color="auto" w:fill="auto"/>
            <w:noWrap/>
            <w:vAlign w:val="center"/>
          </w:tcPr>
          <w:p>
            <w:pPr>
              <w:widowControl/>
              <w:jc w:val="center"/>
              <w:rPr>
                <w:rFonts w:ascii="仿宋" w:hAnsi="仿宋" w:eastAsia="仿宋" w:cs="宋体"/>
                <w:kern w:val="0"/>
                <w:sz w:val="24"/>
              </w:rPr>
            </w:pPr>
            <w:r>
              <w:rPr>
                <w:rFonts w:hint="eastAsia" w:ascii="仿宋" w:hAnsi="仿宋" w:eastAsia="仿宋" w:cs="宋体"/>
                <w:kern w:val="0"/>
                <w:sz w:val="24"/>
              </w:rPr>
              <w:t>100</w:t>
            </w:r>
          </w:p>
        </w:tc>
        <w:tc>
          <w:tcPr>
            <w:tcW w:w="1748" w:type="dxa"/>
            <w:tcBorders>
              <w:top w:val="single" w:color="auto" w:sz="8" w:space="0"/>
              <w:left w:val="nil"/>
              <w:bottom w:val="single" w:color="auto" w:sz="8" w:space="0"/>
              <w:right w:val="single" w:color="auto" w:sz="4" w:space="0"/>
            </w:tcBorders>
            <w:shd w:val="clear" w:color="auto" w:fill="auto"/>
            <w:vAlign w:val="center"/>
          </w:tcPr>
          <w:p>
            <w:pPr>
              <w:jc w:val="center"/>
              <w:rPr>
                <w:rFonts w:ascii="仿宋" w:hAnsi="仿宋" w:eastAsia="仿宋" w:cs="宋体"/>
                <w:kern w:val="0"/>
                <w:sz w:val="24"/>
              </w:rPr>
            </w:pPr>
            <w:r>
              <w:rPr>
                <w:rFonts w:hint="eastAsia" w:ascii="仿宋" w:hAnsi="仿宋" w:eastAsia="仿宋" w:cs="宋体"/>
                <w:kern w:val="0"/>
                <w:sz w:val="24"/>
              </w:rPr>
              <w:t>71.96</w:t>
            </w:r>
          </w:p>
        </w:tc>
        <w:tc>
          <w:tcPr>
            <w:tcW w:w="1069" w:type="dxa"/>
            <w:tcBorders>
              <w:top w:val="single" w:color="auto" w:sz="8" w:space="0"/>
              <w:left w:val="nil"/>
              <w:bottom w:val="single" w:color="auto" w:sz="8"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71.96%</w:t>
            </w:r>
          </w:p>
        </w:tc>
      </w:tr>
      <w:tr>
        <w:tblPrEx>
          <w:tblCellMar>
            <w:top w:w="0" w:type="dxa"/>
            <w:left w:w="108" w:type="dxa"/>
            <w:bottom w:w="0" w:type="dxa"/>
            <w:right w:w="108" w:type="dxa"/>
          </w:tblCellMar>
        </w:tblPrEx>
        <w:trPr>
          <w:trHeight w:val="768" w:hRule="atLeast"/>
        </w:trPr>
        <w:tc>
          <w:tcPr>
            <w:tcW w:w="3833" w:type="dxa"/>
            <w:tcBorders>
              <w:top w:val="single" w:color="auto" w:sz="8" w:space="0"/>
              <w:left w:val="single" w:color="auto" w:sz="4" w:space="0"/>
              <w:bottom w:val="single" w:color="auto" w:sz="8" w:space="0"/>
              <w:right w:val="single" w:color="auto" w:sz="4" w:space="0"/>
            </w:tcBorders>
            <w:shd w:val="clear" w:color="auto" w:fill="auto"/>
            <w:vAlign w:val="center"/>
          </w:tcPr>
          <w:p>
            <w:pPr>
              <w:rPr>
                <w:rFonts w:ascii="仿宋" w:hAnsi="仿宋" w:eastAsia="仿宋" w:cs="宋体"/>
                <w:kern w:val="0"/>
                <w:sz w:val="24"/>
              </w:rPr>
            </w:pPr>
            <w:r>
              <w:rPr>
                <w:rFonts w:ascii="仿宋" w:hAnsi="仿宋" w:eastAsia="仿宋" w:cs="宋体"/>
                <w:kern w:val="0"/>
                <w:sz w:val="24"/>
              </w:rPr>
              <w:t>《湖南生态文明典型案例》编撰经费</w:t>
            </w:r>
          </w:p>
        </w:tc>
        <w:tc>
          <w:tcPr>
            <w:tcW w:w="1795" w:type="dxa"/>
            <w:tcBorders>
              <w:top w:val="single" w:color="auto" w:sz="8" w:space="0"/>
              <w:left w:val="nil"/>
              <w:bottom w:val="single" w:color="auto" w:sz="8" w:space="0"/>
              <w:right w:val="single" w:color="auto" w:sz="4" w:space="0"/>
            </w:tcBorders>
            <w:shd w:val="clear" w:color="auto" w:fill="auto"/>
            <w:noWrap/>
            <w:vAlign w:val="center"/>
          </w:tcPr>
          <w:p>
            <w:pPr>
              <w:widowControl/>
              <w:jc w:val="center"/>
              <w:rPr>
                <w:rFonts w:ascii="仿宋" w:hAnsi="仿宋" w:eastAsia="仿宋" w:cs="宋体"/>
                <w:kern w:val="0"/>
                <w:sz w:val="24"/>
              </w:rPr>
            </w:pPr>
            <w:r>
              <w:rPr>
                <w:rFonts w:hint="eastAsia" w:ascii="仿宋" w:hAnsi="仿宋" w:eastAsia="仿宋" w:cs="宋体"/>
                <w:kern w:val="0"/>
                <w:sz w:val="24"/>
              </w:rPr>
              <w:t>15</w:t>
            </w:r>
          </w:p>
        </w:tc>
        <w:tc>
          <w:tcPr>
            <w:tcW w:w="1748" w:type="dxa"/>
            <w:tcBorders>
              <w:top w:val="single" w:color="auto" w:sz="8" w:space="0"/>
              <w:left w:val="nil"/>
              <w:bottom w:val="single" w:color="auto" w:sz="8" w:space="0"/>
              <w:right w:val="single" w:color="auto" w:sz="4" w:space="0"/>
            </w:tcBorders>
            <w:shd w:val="clear" w:color="auto" w:fill="auto"/>
            <w:vAlign w:val="center"/>
          </w:tcPr>
          <w:p>
            <w:pPr>
              <w:jc w:val="center"/>
              <w:rPr>
                <w:rFonts w:ascii="仿宋" w:hAnsi="仿宋" w:eastAsia="仿宋" w:cs="宋体"/>
                <w:kern w:val="0"/>
                <w:sz w:val="24"/>
              </w:rPr>
            </w:pPr>
            <w:r>
              <w:rPr>
                <w:rFonts w:hint="eastAsia" w:ascii="仿宋" w:hAnsi="仿宋" w:eastAsia="仿宋" w:cs="宋体"/>
                <w:kern w:val="0"/>
                <w:sz w:val="24"/>
              </w:rPr>
              <w:t>0</w:t>
            </w:r>
          </w:p>
        </w:tc>
        <w:tc>
          <w:tcPr>
            <w:tcW w:w="1069" w:type="dxa"/>
            <w:tcBorders>
              <w:top w:val="single" w:color="auto" w:sz="8" w:space="0"/>
              <w:left w:val="nil"/>
              <w:bottom w:val="single" w:color="auto" w:sz="8"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0%</w:t>
            </w:r>
          </w:p>
        </w:tc>
      </w:tr>
      <w:tr>
        <w:tblPrEx>
          <w:tblCellMar>
            <w:top w:w="0" w:type="dxa"/>
            <w:left w:w="108" w:type="dxa"/>
            <w:bottom w:w="0" w:type="dxa"/>
            <w:right w:w="108" w:type="dxa"/>
          </w:tblCellMar>
        </w:tblPrEx>
        <w:trPr>
          <w:trHeight w:val="540" w:hRule="atLeast"/>
        </w:trPr>
        <w:tc>
          <w:tcPr>
            <w:tcW w:w="3833" w:type="dxa"/>
            <w:tcBorders>
              <w:top w:val="single" w:color="auto" w:sz="8" w:space="0"/>
              <w:left w:val="single" w:color="auto" w:sz="4" w:space="0"/>
              <w:bottom w:val="single" w:color="auto" w:sz="8" w:space="0"/>
              <w:right w:val="single" w:color="auto" w:sz="4"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创新型省份建设专项资金</w:t>
            </w:r>
          </w:p>
        </w:tc>
        <w:tc>
          <w:tcPr>
            <w:tcW w:w="1795" w:type="dxa"/>
            <w:tcBorders>
              <w:top w:val="single" w:color="auto" w:sz="8" w:space="0"/>
              <w:left w:val="nil"/>
              <w:bottom w:val="single" w:color="auto" w:sz="8" w:space="0"/>
              <w:right w:val="single" w:color="auto" w:sz="4" w:space="0"/>
            </w:tcBorders>
            <w:shd w:val="clear" w:color="auto" w:fill="auto"/>
            <w:noWrap/>
            <w:vAlign w:val="center"/>
          </w:tcPr>
          <w:p>
            <w:pPr>
              <w:widowControl/>
              <w:jc w:val="center"/>
              <w:rPr>
                <w:rFonts w:ascii="仿宋" w:hAnsi="仿宋" w:eastAsia="仿宋" w:cs="宋体"/>
                <w:kern w:val="0"/>
                <w:sz w:val="24"/>
              </w:rPr>
            </w:pPr>
            <w:r>
              <w:rPr>
                <w:rFonts w:hint="eastAsia" w:ascii="仿宋" w:hAnsi="仿宋" w:eastAsia="仿宋" w:cs="宋体"/>
                <w:kern w:val="0"/>
                <w:sz w:val="24"/>
              </w:rPr>
              <w:t>60</w:t>
            </w:r>
          </w:p>
        </w:tc>
        <w:tc>
          <w:tcPr>
            <w:tcW w:w="1748" w:type="dxa"/>
            <w:tcBorders>
              <w:top w:val="single" w:color="auto" w:sz="8" w:space="0"/>
              <w:left w:val="nil"/>
              <w:bottom w:val="single" w:color="auto" w:sz="8" w:space="0"/>
              <w:right w:val="single" w:color="auto" w:sz="4" w:space="0"/>
            </w:tcBorders>
            <w:shd w:val="clear" w:color="auto" w:fill="auto"/>
            <w:vAlign w:val="center"/>
          </w:tcPr>
          <w:p>
            <w:pPr>
              <w:jc w:val="center"/>
              <w:rPr>
                <w:rFonts w:ascii="仿宋" w:hAnsi="仿宋" w:eastAsia="仿宋" w:cs="宋体"/>
                <w:kern w:val="0"/>
                <w:sz w:val="24"/>
              </w:rPr>
            </w:pPr>
            <w:r>
              <w:rPr>
                <w:rFonts w:hint="eastAsia" w:ascii="仿宋" w:hAnsi="仿宋" w:eastAsia="仿宋" w:cs="宋体"/>
                <w:kern w:val="0"/>
                <w:sz w:val="24"/>
              </w:rPr>
              <w:t>0</w:t>
            </w:r>
          </w:p>
        </w:tc>
        <w:tc>
          <w:tcPr>
            <w:tcW w:w="1069" w:type="dxa"/>
            <w:tcBorders>
              <w:top w:val="single" w:color="auto" w:sz="8" w:space="0"/>
              <w:left w:val="nil"/>
              <w:bottom w:val="single" w:color="auto" w:sz="8"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0%</w:t>
            </w:r>
          </w:p>
        </w:tc>
      </w:tr>
      <w:tr>
        <w:tblPrEx>
          <w:tblCellMar>
            <w:top w:w="0" w:type="dxa"/>
            <w:left w:w="108" w:type="dxa"/>
            <w:bottom w:w="0" w:type="dxa"/>
            <w:right w:w="108" w:type="dxa"/>
          </w:tblCellMar>
        </w:tblPrEx>
        <w:trPr>
          <w:trHeight w:val="540" w:hRule="atLeast"/>
        </w:trPr>
        <w:tc>
          <w:tcPr>
            <w:tcW w:w="3833" w:type="dxa"/>
            <w:tcBorders>
              <w:top w:val="single" w:color="auto" w:sz="8" w:space="0"/>
              <w:left w:val="single" w:color="auto" w:sz="4" w:space="0"/>
              <w:bottom w:val="single" w:color="auto" w:sz="8" w:space="0"/>
              <w:right w:val="single" w:color="auto" w:sz="4"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2021年第三批专项补助经费</w:t>
            </w:r>
          </w:p>
        </w:tc>
        <w:tc>
          <w:tcPr>
            <w:tcW w:w="1795" w:type="dxa"/>
            <w:tcBorders>
              <w:top w:val="single" w:color="auto" w:sz="8" w:space="0"/>
              <w:left w:val="nil"/>
              <w:bottom w:val="single" w:color="auto" w:sz="8" w:space="0"/>
              <w:right w:val="single" w:color="auto" w:sz="4" w:space="0"/>
            </w:tcBorders>
            <w:shd w:val="clear" w:color="auto" w:fill="auto"/>
            <w:noWrap/>
            <w:vAlign w:val="center"/>
          </w:tcPr>
          <w:p>
            <w:pPr>
              <w:widowControl/>
              <w:jc w:val="center"/>
              <w:rPr>
                <w:rFonts w:ascii="仿宋" w:hAnsi="仿宋" w:eastAsia="仿宋" w:cs="宋体"/>
                <w:kern w:val="0"/>
                <w:sz w:val="24"/>
              </w:rPr>
            </w:pPr>
            <w:r>
              <w:rPr>
                <w:rFonts w:hint="eastAsia" w:ascii="仿宋" w:hAnsi="仿宋" w:eastAsia="仿宋" w:cs="宋体"/>
                <w:kern w:val="0"/>
                <w:sz w:val="24"/>
              </w:rPr>
              <w:t>50</w:t>
            </w:r>
          </w:p>
        </w:tc>
        <w:tc>
          <w:tcPr>
            <w:tcW w:w="1748" w:type="dxa"/>
            <w:tcBorders>
              <w:top w:val="single" w:color="auto" w:sz="8" w:space="0"/>
              <w:left w:val="nil"/>
              <w:bottom w:val="single" w:color="auto" w:sz="8" w:space="0"/>
              <w:right w:val="single" w:color="auto" w:sz="4" w:space="0"/>
            </w:tcBorders>
            <w:shd w:val="clear" w:color="auto" w:fill="auto"/>
            <w:vAlign w:val="center"/>
          </w:tcPr>
          <w:p>
            <w:pPr>
              <w:jc w:val="center"/>
              <w:rPr>
                <w:rFonts w:ascii="仿宋" w:hAnsi="仿宋" w:eastAsia="仿宋" w:cs="宋体"/>
                <w:kern w:val="0"/>
                <w:sz w:val="24"/>
              </w:rPr>
            </w:pPr>
            <w:r>
              <w:rPr>
                <w:rFonts w:hint="eastAsia" w:ascii="仿宋" w:hAnsi="仿宋" w:eastAsia="仿宋" w:cs="宋体"/>
                <w:kern w:val="0"/>
                <w:sz w:val="24"/>
              </w:rPr>
              <w:t>0</w:t>
            </w:r>
          </w:p>
        </w:tc>
        <w:tc>
          <w:tcPr>
            <w:tcW w:w="1069" w:type="dxa"/>
            <w:tcBorders>
              <w:top w:val="single" w:color="auto" w:sz="8" w:space="0"/>
              <w:left w:val="nil"/>
              <w:bottom w:val="single" w:color="auto" w:sz="8"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0%</w:t>
            </w:r>
          </w:p>
        </w:tc>
      </w:tr>
      <w:tr>
        <w:tblPrEx>
          <w:tblCellMar>
            <w:top w:w="0" w:type="dxa"/>
            <w:left w:w="108" w:type="dxa"/>
            <w:bottom w:w="0" w:type="dxa"/>
            <w:right w:w="108" w:type="dxa"/>
          </w:tblCellMar>
        </w:tblPrEx>
        <w:trPr>
          <w:trHeight w:val="540" w:hRule="atLeast"/>
        </w:trPr>
        <w:tc>
          <w:tcPr>
            <w:tcW w:w="3833"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　合计</w:t>
            </w:r>
          </w:p>
        </w:tc>
        <w:tc>
          <w:tcPr>
            <w:tcW w:w="1795" w:type="dxa"/>
            <w:tcBorders>
              <w:top w:val="single" w:color="auto" w:sz="8" w:space="0"/>
              <w:left w:val="nil"/>
              <w:bottom w:val="single" w:color="auto" w:sz="8" w:space="0"/>
              <w:right w:val="single" w:color="auto" w:sz="4" w:space="0"/>
            </w:tcBorders>
            <w:shd w:val="clear" w:color="auto" w:fill="auto"/>
            <w:noWrap/>
            <w:vAlign w:val="center"/>
          </w:tcPr>
          <w:p>
            <w:pPr>
              <w:widowControl/>
              <w:jc w:val="center"/>
              <w:rPr>
                <w:rFonts w:ascii="仿宋" w:hAnsi="仿宋" w:eastAsia="仿宋" w:cs="宋体"/>
                <w:kern w:val="0"/>
                <w:sz w:val="24"/>
              </w:rPr>
            </w:pPr>
            <w:r>
              <w:rPr>
                <w:rFonts w:hint="eastAsia" w:ascii="仿宋" w:hAnsi="仿宋" w:eastAsia="仿宋" w:cs="宋体"/>
                <w:kern w:val="0"/>
                <w:sz w:val="24"/>
              </w:rPr>
              <w:t>1167</w:t>
            </w:r>
          </w:p>
        </w:tc>
        <w:tc>
          <w:tcPr>
            <w:tcW w:w="1748" w:type="dxa"/>
            <w:tcBorders>
              <w:top w:val="single" w:color="auto" w:sz="8" w:space="0"/>
              <w:left w:val="nil"/>
              <w:bottom w:val="single" w:color="auto" w:sz="8"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849.97</w:t>
            </w:r>
          </w:p>
        </w:tc>
        <w:tc>
          <w:tcPr>
            <w:tcW w:w="1069" w:type="dxa"/>
            <w:tcBorders>
              <w:top w:val="single" w:color="auto" w:sz="8" w:space="0"/>
              <w:left w:val="nil"/>
              <w:bottom w:val="single" w:color="auto" w:sz="8"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72.83%</w:t>
            </w:r>
          </w:p>
        </w:tc>
      </w:tr>
    </w:tbl>
    <w:p>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上年结转专项资金2158.59万元,2021年支出1328.31万元，执行率61.54%。</w:t>
      </w:r>
    </w:p>
    <w:p>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（2）</w:t>
      </w:r>
      <w:r>
        <w:rPr>
          <w:rFonts w:ascii="仿宋_GB2312" w:hAnsi="仿宋" w:eastAsia="仿宋_GB2312"/>
          <w:sz w:val="32"/>
          <w:szCs w:val="32"/>
        </w:rPr>
        <w:t>省级专项资金以外的其他项目支出情况</w:t>
      </w:r>
    </w:p>
    <w:p>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2021年环保专项收入342.64万元，支出355.43万元，执行率103.73%。生态环境横向项目收入8486.14万元，支出3893.37万元，执行率45.88%。</w:t>
      </w:r>
    </w:p>
    <w:p>
      <w:pPr>
        <w:pStyle w:val="11"/>
        <w:spacing w:line="600" w:lineRule="exact"/>
        <w:ind w:firstLine="640"/>
        <w:rPr>
          <w:rFonts w:ascii="Times New Roman" w:hAnsi="Times New Roman" w:eastAsia="黑体"/>
          <w:sz w:val="32"/>
          <w:szCs w:val="32"/>
        </w:rPr>
      </w:pPr>
      <w:r>
        <w:rPr>
          <w:rFonts w:ascii="Times New Roman" w:hAnsi="Times New Roman" w:eastAsia="黑体"/>
          <w:sz w:val="32"/>
          <w:szCs w:val="32"/>
        </w:rPr>
        <w:t>三、政府性基金预算支出情况</w:t>
      </w:r>
    </w:p>
    <w:p>
      <w:pPr>
        <w:pStyle w:val="11"/>
        <w:spacing w:line="600" w:lineRule="exact"/>
        <w:ind w:firstLine="640"/>
        <w:rPr>
          <w:rFonts w:ascii="仿宋_GB2312" w:hAnsi="仿宋" w:eastAsia="仿宋_GB2312"/>
          <w:sz w:val="32"/>
          <w:szCs w:val="32"/>
        </w:rPr>
      </w:pPr>
      <w:r>
        <w:rPr>
          <w:rFonts w:hint="eastAsia" w:ascii="仿宋_GB2312" w:hAnsi="仿宋" w:eastAsia="仿宋_GB2312"/>
          <w:sz w:val="32"/>
          <w:szCs w:val="32"/>
        </w:rPr>
        <w:t>我院无</w:t>
      </w:r>
      <w:r>
        <w:rPr>
          <w:rFonts w:ascii="仿宋_GB2312" w:hAnsi="仿宋" w:eastAsia="仿宋_GB2312"/>
          <w:sz w:val="32"/>
          <w:szCs w:val="32"/>
        </w:rPr>
        <w:t>政府性基金预算支出</w:t>
      </w:r>
    </w:p>
    <w:p>
      <w:pPr>
        <w:spacing w:line="540" w:lineRule="exact"/>
        <w:ind w:firstLine="640" w:firstLineChars="200"/>
        <w:rPr>
          <w:rFonts w:eastAsia="黑体"/>
          <w:sz w:val="32"/>
          <w:szCs w:val="32"/>
        </w:rPr>
      </w:pPr>
      <w:r>
        <w:rPr>
          <w:rFonts w:eastAsia="黑体"/>
          <w:sz w:val="32"/>
          <w:szCs w:val="32"/>
        </w:rPr>
        <w:t>四、国有资本经营预算支出情况</w:t>
      </w:r>
    </w:p>
    <w:p>
      <w:pPr>
        <w:pStyle w:val="11"/>
        <w:spacing w:line="600" w:lineRule="exact"/>
        <w:ind w:firstLine="640"/>
        <w:rPr>
          <w:rFonts w:ascii="仿宋_GB2312" w:hAnsi="仿宋" w:eastAsia="仿宋_GB2312"/>
          <w:sz w:val="32"/>
          <w:szCs w:val="32"/>
        </w:rPr>
      </w:pPr>
      <w:r>
        <w:rPr>
          <w:rFonts w:hint="eastAsia" w:ascii="仿宋_GB2312" w:hAnsi="仿宋" w:eastAsia="仿宋_GB2312"/>
          <w:sz w:val="32"/>
          <w:szCs w:val="32"/>
        </w:rPr>
        <w:t>我院无</w:t>
      </w:r>
      <w:r>
        <w:rPr>
          <w:rFonts w:ascii="仿宋_GB2312" w:hAnsi="仿宋" w:eastAsia="仿宋_GB2312"/>
          <w:sz w:val="32"/>
          <w:szCs w:val="32"/>
        </w:rPr>
        <w:t>国有资本经营预算支出</w:t>
      </w:r>
    </w:p>
    <w:p>
      <w:pPr>
        <w:pStyle w:val="11"/>
        <w:spacing w:line="600" w:lineRule="exact"/>
        <w:ind w:firstLine="640"/>
        <w:rPr>
          <w:rFonts w:ascii="Times New Roman" w:hAnsi="Times New Roman" w:eastAsia="黑体"/>
          <w:sz w:val="32"/>
          <w:szCs w:val="32"/>
        </w:rPr>
      </w:pPr>
      <w:r>
        <w:rPr>
          <w:rFonts w:ascii="Times New Roman" w:hAnsi="Times New Roman" w:eastAsia="黑体"/>
          <w:sz w:val="32"/>
          <w:szCs w:val="32"/>
        </w:rPr>
        <w:t>五、社会保险基金预算支出情况</w:t>
      </w:r>
    </w:p>
    <w:p>
      <w:pPr>
        <w:pStyle w:val="11"/>
        <w:spacing w:line="600" w:lineRule="exact"/>
        <w:ind w:firstLine="640"/>
        <w:rPr>
          <w:rFonts w:ascii="仿宋_GB2312" w:hAnsi="仿宋" w:eastAsia="仿宋_GB2312"/>
          <w:sz w:val="32"/>
          <w:szCs w:val="32"/>
        </w:rPr>
      </w:pPr>
      <w:r>
        <w:rPr>
          <w:rFonts w:hint="eastAsia" w:ascii="仿宋_GB2312" w:hAnsi="仿宋" w:eastAsia="仿宋_GB2312"/>
          <w:sz w:val="32"/>
          <w:szCs w:val="32"/>
        </w:rPr>
        <w:t>我院无</w:t>
      </w:r>
      <w:r>
        <w:rPr>
          <w:rFonts w:ascii="仿宋_GB2312" w:hAnsi="仿宋" w:eastAsia="仿宋_GB2312"/>
          <w:sz w:val="32"/>
          <w:szCs w:val="32"/>
        </w:rPr>
        <w:t>社会保险基金预算支出</w:t>
      </w:r>
    </w:p>
    <w:p>
      <w:pPr>
        <w:spacing w:line="600" w:lineRule="exact"/>
        <w:ind w:firstLine="640" w:firstLineChars="200"/>
        <w:rPr>
          <w:rFonts w:hint="eastAsia" w:eastAsia="黑体"/>
          <w:sz w:val="32"/>
          <w:szCs w:val="32"/>
        </w:rPr>
      </w:pPr>
      <w:r>
        <w:rPr>
          <w:rFonts w:eastAsia="黑体"/>
          <w:sz w:val="32"/>
          <w:szCs w:val="32"/>
        </w:rPr>
        <w:t>六、部门整体支出绩效情况</w:t>
      </w:r>
    </w:p>
    <w:p>
      <w:pPr>
        <w:pStyle w:val="2"/>
        <w:ind w:firstLine="640" w:firstLineChars="200"/>
        <w:rPr>
          <w:rFonts w:hint="eastAsia" w:ascii="楷体" w:hAnsi="楷体" w:eastAsia="楷体"/>
        </w:rPr>
      </w:pPr>
      <w:r>
        <w:rPr>
          <w:rFonts w:hint="eastAsia" w:ascii="楷体" w:hAnsi="楷体" w:eastAsia="楷体"/>
        </w:rPr>
        <w:t>（一）把握党史教育契机，推进党建中心工作</w:t>
      </w:r>
    </w:p>
    <w:p>
      <w:pPr>
        <w:rPr>
          <w:rFonts w:hint="eastAsia" w:ascii="仿宋_GB2312" w:hAnsi="宋体" w:eastAsia="仿宋_GB2312"/>
          <w:sz w:val="32"/>
          <w:szCs w:val="32"/>
        </w:rPr>
      </w:pPr>
      <w:r>
        <w:rPr>
          <w:rFonts w:hint="eastAsia" w:ascii="仿宋_GB2312" w:hAnsi="宋体" w:eastAsia="仿宋_GB2312"/>
          <w:sz w:val="32"/>
          <w:szCs w:val="32"/>
        </w:rPr>
        <w:t xml:space="preserve">    </w:t>
      </w:r>
      <w:r>
        <w:rPr>
          <w:rFonts w:ascii="仿宋_GB2312" w:hAnsi="宋体" w:eastAsia="仿宋_GB2312"/>
          <w:b/>
          <w:sz w:val="32"/>
          <w:szCs w:val="32"/>
        </w:rPr>
        <w:t>1、顺利完成党委换届选举。</w:t>
      </w:r>
      <w:r>
        <w:rPr>
          <w:rFonts w:ascii="仿宋_GB2312" w:hAnsi="宋体" w:eastAsia="仿宋_GB2312"/>
          <w:sz w:val="32"/>
          <w:szCs w:val="32"/>
        </w:rPr>
        <w:t>在厅</w:t>
      </w:r>
      <w:r>
        <w:rPr>
          <w:rFonts w:hint="eastAsia" w:ascii="仿宋_GB2312" w:hAnsi="宋体" w:eastAsia="仿宋_GB2312"/>
          <w:sz w:val="32"/>
          <w:szCs w:val="32"/>
        </w:rPr>
        <w:t>党组的</w:t>
      </w:r>
      <w:r>
        <w:rPr>
          <w:rFonts w:ascii="仿宋_GB2312" w:hAnsi="宋体" w:eastAsia="仿宋_GB2312"/>
          <w:sz w:val="32"/>
          <w:szCs w:val="32"/>
        </w:rPr>
        <w:t>关怀和指导下，我院按照新时代</w:t>
      </w:r>
      <w:r>
        <w:rPr>
          <w:rFonts w:hint="eastAsia" w:ascii="仿宋_GB2312" w:hAnsi="宋体" w:eastAsia="仿宋_GB2312"/>
          <w:sz w:val="32"/>
          <w:szCs w:val="32"/>
        </w:rPr>
        <w:t>党委</w:t>
      </w:r>
      <w:r>
        <w:rPr>
          <w:rFonts w:ascii="仿宋_GB2312" w:hAnsi="宋体" w:eastAsia="仿宋_GB2312"/>
          <w:sz w:val="32"/>
          <w:szCs w:val="32"/>
        </w:rPr>
        <w:t>换届与选举工作要求，</w:t>
      </w:r>
      <w:r>
        <w:rPr>
          <w:rFonts w:hint="eastAsia" w:ascii="仿宋_GB2312" w:hAnsi="宋体" w:eastAsia="仿宋_GB2312"/>
          <w:sz w:val="32"/>
          <w:szCs w:val="32"/>
        </w:rPr>
        <w:t>顺利</w:t>
      </w:r>
      <w:r>
        <w:rPr>
          <w:rFonts w:ascii="仿宋_GB2312" w:hAnsi="宋体" w:eastAsia="仿宋_GB2312"/>
          <w:sz w:val="32"/>
          <w:szCs w:val="32"/>
        </w:rPr>
        <w:t>选举产生</w:t>
      </w:r>
      <w:r>
        <w:rPr>
          <w:rFonts w:hint="eastAsia" w:ascii="仿宋_GB2312" w:hAnsi="宋体" w:eastAsia="仿宋_GB2312"/>
          <w:sz w:val="32"/>
          <w:szCs w:val="32"/>
        </w:rPr>
        <w:t>了</w:t>
      </w:r>
      <w:r>
        <w:rPr>
          <w:rFonts w:ascii="仿宋_GB2312" w:hAnsi="宋体" w:eastAsia="仿宋_GB2312"/>
          <w:sz w:val="32"/>
          <w:szCs w:val="32"/>
        </w:rPr>
        <w:t>第九届院党委班子</w:t>
      </w:r>
      <w:r>
        <w:rPr>
          <w:rFonts w:hint="eastAsia" w:ascii="仿宋_GB2312" w:hAnsi="宋体" w:eastAsia="仿宋_GB2312"/>
          <w:sz w:val="32"/>
          <w:szCs w:val="32"/>
        </w:rPr>
        <w:t>。</w:t>
      </w:r>
      <w:r>
        <w:rPr>
          <w:rFonts w:ascii="仿宋_GB2312" w:hAnsi="宋体" w:eastAsia="仿宋_GB2312"/>
          <w:sz w:val="32"/>
          <w:szCs w:val="32"/>
        </w:rPr>
        <w:t>新一届院党委根据党员大会精神，发布了《</w:t>
      </w:r>
      <w:r>
        <w:rPr>
          <w:rFonts w:hint="eastAsia" w:ascii="仿宋_GB2312" w:hAnsi="宋体" w:eastAsia="仿宋_GB2312"/>
          <w:sz w:val="32"/>
          <w:szCs w:val="32"/>
        </w:rPr>
        <w:t>关于第九次党员大会部署工作的实施方案</w:t>
      </w:r>
      <w:r>
        <w:rPr>
          <w:rFonts w:ascii="仿宋_GB2312" w:hAnsi="宋体" w:eastAsia="仿宋_GB2312"/>
          <w:sz w:val="32"/>
          <w:szCs w:val="32"/>
        </w:rPr>
        <w:t>》，明确未来</w:t>
      </w:r>
      <w:r>
        <w:rPr>
          <w:rFonts w:hint="eastAsia" w:ascii="仿宋_GB2312" w:hAnsi="宋体" w:eastAsia="仿宋_GB2312"/>
          <w:sz w:val="32"/>
          <w:szCs w:val="32"/>
        </w:rPr>
        <w:t>五</w:t>
      </w:r>
      <w:r>
        <w:rPr>
          <w:rFonts w:ascii="仿宋_GB2312" w:hAnsi="宋体" w:eastAsia="仿宋_GB2312"/>
          <w:sz w:val="32"/>
          <w:szCs w:val="32"/>
        </w:rPr>
        <w:t>年全院工作的总体行动方案</w:t>
      </w:r>
      <w:r>
        <w:rPr>
          <w:rFonts w:hint="eastAsia" w:ascii="仿宋_GB2312" w:hAnsi="宋体" w:eastAsia="仿宋_GB2312"/>
          <w:sz w:val="32"/>
          <w:szCs w:val="32"/>
        </w:rPr>
        <w:t>，并分年度执行、考核和提高。</w:t>
      </w:r>
    </w:p>
    <w:p>
      <w:pPr>
        <w:rPr>
          <w:rFonts w:hint="eastAsia" w:ascii="仿宋_GB2312" w:hAnsi="宋体" w:eastAsia="仿宋_GB2312"/>
          <w:sz w:val="32"/>
          <w:szCs w:val="32"/>
        </w:rPr>
      </w:pPr>
      <w:r>
        <w:rPr>
          <w:rFonts w:hint="eastAsia" w:ascii="仿宋_GB2312" w:hAnsi="宋体" w:eastAsia="仿宋_GB2312"/>
          <w:b/>
          <w:sz w:val="32"/>
          <w:szCs w:val="32"/>
        </w:rPr>
        <w:t xml:space="preserve">    </w:t>
      </w:r>
      <w:r>
        <w:rPr>
          <w:rFonts w:ascii="仿宋_GB2312" w:hAnsi="宋体" w:eastAsia="仿宋_GB2312"/>
          <w:b/>
          <w:sz w:val="32"/>
          <w:szCs w:val="32"/>
        </w:rPr>
        <w:t>2</w:t>
      </w:r>
      <w:r>
        <w:rPr>
          <w:rFonts w:hint="eastAsia" w:ascii="仿宋_GB2312" w:hAnsi="宋体" w:eastAsia="仿宋_GB2312"/>
          <w:b/>
          <w:sz w:val="32"/>
          <w:szCs w:val="32"/>
        </w:rPr>
        <w:t>、推进党史教育学习活动。</w:t>
      </w:r>
      <w:r>
        <w:rPr>
          <w:rFonts w:hint="eastAsia" w:ascii="仿宋_GB2312" w:hAnsi="宋体" w:eastAsia="仿宋_GB2312"/>
          <w:sz w:val="32"/>
          <w:szCs w:val="32"/>
        </w:rPr>
        <w:t>院党委制定了《党史学习教育活动实施方案》，全年开展中心组学习</w:t>
      </w:r>
      <w:r>
        <w:rPr>
          <w:rFonts w:ascii="仿宋_GB2312" w:hAnsi="宋体" w:eastAsia="仿宋_GB2312"/>
          <w:sz w:val="32"/>
          <w:szCs w:val="32"/>
        </w:rPr>
        <w:t>12</w:t>
      </w:r>
      <w:r>
        <w:rPr>
          <w:rFonts w:hint="eastAsia" w:ascii="仿宋_GB2312" w:hAnsi="宋体" w:eastAsia="仿宋_GB2312"/>
          <w:sz w:val="32"/>
          <w:szCs w:val="32"/>
        </w:rPr>
        <w:t>次、</w:t>
      </w:r>
      <w:r>
        <w:rPr>
          <w:rFonts w:hint="eastAsia" w:ascii="仿宋_GB2312" w:eastAsia="仿宋_GB2312"/>
          <w:sz w:val="32"/>
          <w:szCs w:val="32"/>
        </w:rPr>
        <w:t>集中专题研讨4次，领导班子下支部讲党课7次、专题辅导2次，</w:t>
      </w:r>
      <w:r>
        <w:rPr>
          <w:rFonts w:hint="eastAsia" w:ascii="仿宋_GB2312" w:hAnsi="宋体" w:eastAsia="仿宋_GB2312"/>
          <w:sz w:val="32"/>
          <w:szCs w:val="32"/>
        </w:rPr>
        <w:t>青年理论学习小组学习</w:t>
      </w:r>
      <w:r>
        <w:rPr>
          <w:rFonts w:ascii="仿宋_GB2312" w:hAnsi="宋体" w:eastAsia="仿宋_GB2312"/>
          <w:sz w:val="32"/>
          <w:szCs w:val="32"/>
        </w:rPr>
        <w:t>9</w:t>
      </w:r>
      <w:r>
        <w:rPr>
          <w:rFonts w:hint="eastAsia" w:ascii="仿宋_GB2312" w:hAnsi="宋体" w:eastAsia="仿宋_GB2312"/>
          <w:sz w:val="32"/>
          <w:szCs w:val="32"/>
        </w:rPr>
        <w:t>次，开展支部联建、支部党建活动</w:t>
      </w:r>
      <w:r>
        <w:rPr>
          <w:rFonts w:ascii="仿宋_GB2312" w:hAnsi="宋体" w:eastAsia="仿宋_GB2312"/>
          <w:sz w:val="32"/>
          <w:szCs w:val="32"/>
        </w:rPr>
        <w:t>2</w:t>
      </w:r>
      <w:r>
        <w:rPr>
          <w:rFonts w:hint="eastAsia" w:ascii="仿宋_GB2312" w:hAnsi="宋体" w:eastAsia="仿宋_GB2312"/>
          <w:sz w:val="32"/>
          <w:szCs w:val="32"/>
        </w:rPr>
        <w:t>0余次；完成了学史明理、学史增信、学史崇德、学史力行四个专题的学习，特别是在学史力行阶段，全院党员干部带着问题下基层，与郴州市生态环境局等</w:t>
      </w:r>
      <w:r>
        <w:rPr>
          <w:rFonts w:ascii="仿宋_GB2312" w:hAnsi="宋体" w:eastAsia="仿宋_GB2312"/>
          <w:sz w:val="32"/>
          <w:szCs w:val="32"/>
        </w:rPr>
        <w:t>6</w:t>
      </w:r>
      <w:r>
        <w:rPr>
          <w:rFonts w:hint="eastAsia" w:ascii="仿宋_GB2312" w:hAnsi="宋体" w:eastAsia="仿宋_GB2312"/>
          <w:sz w:val="32"/>
          <w:szCs w:val="32"/>
        </w:rPr>
        <w:t>个地市局新签订了战略合作协议，技术指导市、县生态环境部门解决了大量难点工作，密切了党组织间的联系，树立了技术为民、科研为民的良好形象。</w:t>
      </w:r>
    </w:p>
    <w:p>
      <w:pPr>
        <w:rPr>
          <w:rFonts w:hint="eastAsia" w:ascii="仿宋_GB2312" w:hAnsi="宋体" w:eastAsia="仿宋_GB2312"/>
          <w:sz w:val="32"/>
          <w:szCs w:val="32"/>
        </w:rPr>
      </w:pPr>
      <w:r>
        <w:rPr>
          <w:rFonts w:hint="eastAsia" w:ascii="仿宋_GB2312" w:hAnsi="宋体" w:eastAsia="仿宋_GB2312"/>
          <w:sz w:val="32"/>
          <w:szCs w:val="32"/>
        </w:rPr>
        <w:t xml:space="preserve">    </w:t>
      </w:r>
      <w:r>
        <w:rPr>
          <w:rFonts w:ascii="仿宋_GB2312" w:hAnsi="宋体" w:eastAsia="仿宋_GB2312"/>
          <w:b/>
          <w:sz w:val="32"/>
          <w:szCs w:val="32"/>
        </w:rPr>
        <w:t>3</w:t>
      </w:r>
      <w:r>
        <w:rPr>
          <w:rFonts w:hint="eastAsia" w:ascii="仿宋_GB2312" w:hAnsi="宋体" w:eastAsia="仿宋_GB2312"/>
          <w:b/>
          <w:sz w:val="32"/>
          <w:szCs w:val="32"/>
        </w:rPr>
        <w:t>、组织建党100周年大庆活动。</w:t>
      </w:r>
      <w:r>
        <w:rPr>
          <w:rFonts w:hint="eastAsia" w:ascii="仿宋_GB2312" w:hAnsi="宋体" w:eastAsia="仿宋_GB2312"/>
          <w:sz w:val="32"/>
          <w:szCs w:val="32"/>
        </w:rPr>
        <w:t>院党委制定了《庆祝建党100周年系列活动方案》，组织院领导及院中层干部赴十八洞村开展“我为群众办实事”实践活动，在院内开展党史知识竞赛、开展“两优一先”评选活动，在全院上下营造了热烈浓厚的节庆氛围。</w:t>
      </w:r>
    </w:p>
    <w:p>
      <w:pPr>
        <w:rPr>
          <w:rFonts w:hint="eastAsia" w:ascii="仿宋_GB2312" w:hAnsi="宋体" w:eastAsia="仿宋"/>
          <w:sz w:val="32"/>
          <w:szCs w:val="32"/>
          <w:highlight w:val="green"/>
        </w:rPr>
      </w:pPr>
      <w:r>
        <w:rPr>
          <w:rFonts w:hint="eastAsia" w:ascii="仿宋_GB2312" w:hAnsi="宋体" w:eastAsia="仿宋_GB2312"/>
          <w:sz w:val="32"/>
          <w:szCs w:val="32"/>
        </w:rPr>
        <w:t xml:space="preserve">    </w:t>
      </w:r>
      <w:r>
        <w:rPr>
          <w:rFonts w:ascii="仿宋_GB2312" w:hAnsi="宋体" w:eastAsia="仿宋_GB2312"/>
          <w:b/>
          <w:sz w:val="32"/>
          <w:szCs w:val="32"/>
        </w:rPr>
        <w:t>4</w:t>
      </w:r>
      <w:r>
        <w:rPr>
          <w:rFonts w:hint="eastAsia" w:ascii="仿宋_GB2312" w:hAnsi="宋体" w:eastAsia="仿宋_GB2312"/>
          <w:b/>
          <w:sz w:val="32"/>
          <w:szCs w:val="32"/>
        </w:rPr>
        <w:t>、深入抓好文明创建、平安创建工作。</w:t>
      </w:r>
      <w:r>
        <w:rPr>
          <w:rFonts w:hint="eastAsia" w:ascii="仿宋_GB2312" w:hAnsi="宋体" w:eastAsia="仿宋_GB2312"/>
          <w:sz w:val="32"/>
          <w:szCs w:val="32"/>
        </w:rPr>
        <w:t>围绕“文明、平安”双创优目标，制定了《文明创建工作实施方案》《平安建设工作要点》《安全生产工作实施方案》，全面梳理院内安全生产“党政同责、一岗双责”落实情况，</w:t>
      </w:r>
      <w:r>
        <w:rPr>
          <w:rFonts w:hint="eastAsia" w:ascii="仿宋" w:hAnsi="仿宋" w:eastAsia="仿宋"/>
          <w:sz w:val="32"/>
          <w:szCs w:val="32"/>
        </w:rPr>
        <w:t>院长与各部门（单位）负责人签订《平安建设目标责任书》，制定了《平安建设工作考评办法》，将平安单位建设工作纳入部门（单位）年度绩效考核</w:t>
      </w:r>
      <w:r>
        <w:rPr>
          <w:rFonts w:hint="eastAsia" w:ascii="仿宋_GB2312" w:hAnsi="宋体" w:eastAsia="仿宋_GB2312"/>
          <w:sz w:val="32"/>
          <w:szCs w:val="32"/>
        </w:rPr>
        <w:t>，确保全院职工遵纪守法，大院全年安全稳定，文明创建、平安创建均取得较好成绩</w:t>
      </w:r>
      <w:r>
        <w:rPr>
          <w:rFonts w:hint="eastAsia" w:ascii="仿宋" w:hAnsi="仿宋" w:eastAsia="仿宋"/>
          <w:bCs/>
          <w:sz w:val="32"/>
          <w:szCs w:val="32"/>
        </w:rPr>
        <w:t>。</w:t>
      </w:r>
    </w:p>
    <w:p>
      <w:pPr>
        <w:pStyle w:val="2"/>
        <w:ind w:firstLine="640" w:firstLineChars="200"/>
        <w:rPr>
          <w:rFonts w:hint="eastAsia" w:ascii="楷体" w:hAnsi="楷体" w:eastAsia="楷体"/>
        </w:rPr>
      </w:pPr>
      <w:r>
        <w:rPr>
          <w:rFonts w:hint="eastAsia" w:ascii="楷体" w:hAnsi="楷体" w:eastAsia="楷体"/>
        </w:rPr>
        <w:t>（二）发挥环境智囊作用，切实支撑管理决策</w:t>
      </w:r>
    </w:p>
    <w:p>
      <w:pPr>
        <w:rPr>
          <w:rFonts w:ascii="仿宋_GB2312" w:eastAsia="仿宋_GB2312"/>
          <w:b/>
          <w:sz w:val="32"/>
          <w:szCs w:val="32"/>
        </w:rPr>
      </w:pPr>
      <w:r>
        <w:rPr>
          <w:rFonts w:hint="eastAsia" w:ascii="仿宋_GB2312" w:eastAsia="仿宋_GB2312"/>
          <w:b/>
          <w:sz w:val="32"/>
          <w:szCs w:val="32"/>
        </w:rPr>
        <w:t xml:space="preserve">    1、服务“三高四新”方面</w:t>
      </w:r>
    </w:p>
    <w:p>
      <w:pPr>
        <w:ind w:firstLine="640" w:firstLineChars="200"/>
        <w:rPr>
          <w:rFonts w:ascii="仿宋_GB2312" w:hAnsi="宋体" w:eastAsia="仿宋_GB2312"/>
          <w:sz w:val="32"/>
          <w:szCs w:val="32"/>
        </w:rPr>
      </w:pPr>
      <w:r>
        <w:rPr>
          <w:rFonts w:hint="eastAsia" w:ascii="仿宋_GB2312" w:eastAsia="仿宋_GB2312"/>
          <w:b/>
          <w:sz w:val="32"/>
          <w:szCs w:val="32"/>
        </w:rPr>
        <w:t>圆满完成“十四五”规划编制任务。</w:t>
      </w:r>
      <w:r>
        <w:rPr>
          <w:rFonts w:hint="eastAsia" w:ascii="仿宋_GB2312" w:hAnsi="宋体" w:eastAsia="仿宋_GB2312"/>
          <w:sz w:val="32"/>
          <w:szCs w:val="32"/>
        </w:rPr>
        <w:t>《湖南省十四五生态环境保护规划》已于2</w:t>
      </w:r>
      <w:r>
        <w:rPr>
          <w:rFonts w:ascii="仿宋_GB2312" w:hAnsi="宋体" w:eastAsia="仿宋_GB2312"/>
          <w:sz w:val="32"/>
          <w:szCs w:val="32"/>
        </w:rPr>
        <w:t>021年</w:t>
      </w:r>
      <w:r>
        <w:rPr>
          <w:rFonts w:hint="eastAsia" w:ascii="仿宋_GB2312" w:hAnsi="宋体" w:eastAsia="仿宋_GB2312"/>
          <w:sz w:val="32"/>
          <w:szCs w:val="32"/>
        </w:rPr>
        <w:t>9月30日由省人民政府正式发布，</w:t>
      </w:r>
      <w:r>
        <w:rPr>
          <w:rFonts w:hint="eastAsia" w:ascii="仿宋_GB2312" w:eastAsia="仿宋_GB2312"/>
          <w:sz w:val="32"/>
          <w:szCs w:val="32"/>
        </w:rPr>
        <w:t>新规划立足省情，</w:t>
      </w:r>
      <w:r>
        <w:rPr>
          <w:rFonts w:hint="eastAsia" w:ascii="仿宋_GB2312" w:hAnsi="宋体" w:eastAsia="仿宋_GB2312"/>
          <w:sz w:val="32"/>
          <w:szCs w:val="32"/>
        </w:rPr>
        <w:t>立意高远，字斟句酌，圆满完成工作任务；“重点流域”、“空气质量改善”、“应对气候变化”、“固体废物污染防治”等专项规划也按期通过了厅务会的审定。</w:t>
      </w:r>
    </w:p>
    <w:p>
      <w:pPr>
        <w:ind w:firstLine="640" w:firstLineChars="200"/>
        <w:rPr>
          <w:rFonts w:hint="eastAsia" w:ascii="仿宋_GB2312" w:hAnsi="宋体" w:eastAsia="仿宋_GB2312"/>
          <w:color w:val="0070C0"/>
          <w:sz w:val="32"/>
          <w:szCs w:val="32"/>
        </w:rPr>
      </w:pPr>
      <w:r>
        <w:rPr>
          <w:rFonts w:eastAsia="仿宋_GB2312"/>
          <w:b/>
          <w:sz w:val="32"/>
          <w:szCs w:val="32"/>
        </w:rPr>
        <w:t>做好生态文明示范创建技术支撑。</w:t>
      </w:r>
      <w:r>
        <w:rPr>
          <w:rFonts w:hint="eastAsia" w:eastAsia="仿宋_GB2312"/>
          <w:sz w:val="32"/>
          <w:szCs w:val="32"/>
        </w:rPr>
        <w:t>协助</w:t>
      </w:r>
      <w:r>
        <w:rPr>
          <w:rFonts w:eastAsia="仿宋_GB2312"/>
          <w:sz w:val="32"/>
          <w:szCs w:val="32"/>
        </w:rPr>
        <w:t>省厅</w:t>
      </w:r>
      <w:r>
        <w:rPr>
          <w:rFonts w:hint="eastAsia" w:eastAsia="仿宋_GB2312"/>
          <w:sz w:val="32"/>
          <w:szCs w:val="32"/>
        </w:rPr>
        <w:t>完成了第三批省级生态文明建设示范区评选与2021年区县创建规划的评审报批工作；在省级层面率先制定了生态文明示范创建工作实施细则，为全省生态文明示范创建工作奠定了基础；技术支撑浏阳市申报国家“两山”实践创新基地，并已成功授牌。</w:t>
      </w:r>
    </w:p>
    <w:p>
      <w:pPr>
        <w:ind w:firstLine="640" w:firstLineChars="200"/>
        <w:rPr>
          <w:rFonts w:ascii="仿宋_GB2312" w:hAnsi="宋体" w:eastAsia="仿宋_GB2312"/>
          <w:sz w:val="32"/>
          <w:szCs w:val="32"/>
        </w:rPr>
      </w:pPr>
      <w:r>
        <w:rPr>
          <w:rFonts w:hint="eastAsia" w:ascii="仿宋_GB2312" w:hAnsi="宋体" w:eastAsia="仿宋_GB2312"/>
          <w:b/>
          <w:sz w:val="32"/>
          <w:szCs w:val="32"/>
        </w:rPr>
        <w:t>启动“湖南省重金属污染防治技术中心”筹备工作。</w:t>
      </w:r>
      <w:r>
        <w:rPr>
          <w:rFonts w:hint="eastAsia" w:ascii="仿宋_GB2312" w:hAnsi="宋体" w:eastAsia="仿宋_GB2312"/>
          <w:sz w:val="32"/>
          <w:szCs w:val="32"/>
        </w:rPr>
        <w:t>按照省厅统一部署，我院启动了“中心”的筹建工作，方案已提交省政府，并围绕“中心”建设开展了《资江流域锑污染整治实施方案》《湖南省土壤生态环境长期观测研究基地建设方案》编制等系列工作。</w:t>
      </w:r>
    </w:p>
    <w:p>
      <w:pPr>
        <w:ind w:firstLine="640" w:firstLineChars="200"/>
        <w:rPr>
          <w:rFonts w:hint="eastAsia" w:ascii="仿宋_GB2312" w:hAnsi="宋体" w:eastAsia="仿宋_GB2312"/>
          <w:sz w:val="32"/>
          <w:szCs w:val="32"/>
        </w:rPr>
      </w:pPr>
      <w:r>
        <w:rPr>
          <w:rFonts w:hint="eastAsia" w:ascii="仿宋_GB2312" w:hAnsi="宋体" w:eastAsia="仿宋_GB2312"/>
          <w:b/>
          <w:sz w:val="32"/>
          <w:szCs w:val="32"/>
        </w:rPr>
        <w:t>深入推进五年遥感调查。</w:t>
      </w:r>
      <w:r>
        <w:rPr>
          <w:rFonts w:hint="eastAsia" w:ascii="仿宋_GB2312" w:hAnsi="宋体" w:eastAsia="仿宋_GB2312"/>
          <w:sz w:val="32"/>
          <w:szCs w:val="32"/>
        </w:rPr>
        <w:t>利用高分卫星数据，我院完成了生态系统类型野外核查、生态系统格局变化分析、生态系统服务功能分析、生态环境问题分析。目前我省五年遥感调查工作总体处于全国前列，获得生态环境部肯定。</w:t>
      </w:r>
    </w:p>
    <w:p>
      <w:pPr>
        <w:ind w:firstLine="640" w:firstLineChars="200"/>
        <w:rPr>
          <w:rFonts w:ascii="仿宋_GB2312" w:hAnsi="宋体" w:eastAsia="仿宋_GB2312"/>
          <w:sz w:val="32"/>
          <w:szCs w:val="32"/>
        </w:rPr>
      </w:pPr>
      <w:r>
        <w:rPr>
          <w:rFonts w:ascii="仿宋_GB2312" w:hAnsi="宋体" w:eastAsia="仿宋_GB2312"/>
          <w:b/>
          <w:sz w:val="32"/>
          <w:szCs w:val="32"/>
        </w:rPr>
        <w:t>开展全省园区环保技术指导。</w:t>
      </w:r>
      <w:r>
        <w:rPr>
          <w:rFonts w:hint="eastAsia" w:ascii="仿宋_GB2312" w:hAnsi="宋体" w:eastAsia="仿宋_GB2312"/>
          <w:sz w:val="32"/>
          <w:szCs w:val="32"/>
        </w:rPr>
        <w:t>对我省省级及以上143个产业园区开展环保信用评价工作，形成2020年度产业园区环保信用评价结果报告；支撑开展产业园区规划环评落实情况核查工作，按三年内完成全省143个省级以上产业园区规划环评核查全覆盖的工作计划，2</w:t>
      </w:r>
      <w:r>
        <w:rPr>
          <w:rFonts w:ascii="仿宋_GB2312" w:hAnsi="宋体" w:eastAsia="仿宋_GB2312"/>
          <w:sz w:val="32"/>
          <w:szCs w:val="32"/>
        </w:rPr>
        <w:t>021年已完成</w:t>
      </w:r>
      <w:r>
        <w:rPr>
          <w:rFonts w:hint="eastAsia" w:ascii="仿宋_GB2312" w:hAnsi="宋体" w:eastAsia="仿宋_GB2312"/>
          <w:sz w:val="32"/>
          <w:szCs w:val="32"/>
        </w:rPr>
        <w:t>3</w:t>
      </w:r>
      <w:r>
        <w:rPr>
          <w:rFonts w:ascii="仿宋_GB2312" w:hAnsi="宋体" w:eastAsia="仿宋_GB2312"/>
          <w:sz w:val="32"/>
          <w:szCs w:val="32"/>
        </w:rPr>
        <w:t>0个园区</w:t>
      </w:r>
      <w:r>
        <w:rPr>
          <w:rFonts w:hint="eastAsia" w:ascii="仿宋_GB2312" w:hAnsi="宋体" w:eastAsia="仿宋_GB2312"/>
          <w:sz w:val="32"/>
          <w:szCs w:val="32"/>
        </w:rPr>
        <w:t>的核查工作；对岳阳市等8个地市的15个省级以上产业园区2020年度生态环境状况与管理情况进行了现场核查，有力推进了我省产业园区的规范化管理。</w:t>
      </w:r>
    </w:p>
    <w:p>
      <w:pPr>
        <w:ind w:firstLine="640" w:firstLineChars="200"/>
        <w:rPr>
          <w:rFonts w:hint="eastAsia" w:ascii="仿宋_GB2312" w:hAnsi="宋体" w:eastAsia="仿宋_GB2312"/>
          <w:sz w:val="32"/>
          <w:szCs w:val="32"/>
        </w:rPr>
      </w:pPr>
      <w:r>
        <w:rPr>
          <w:rFonts w:hint="eastAsia" w:ascii="仿宋_GB2312" w:hAnsi="宋体" w:eastAsia="仿宋_GB2312"/>
          <w:b/>
          <w:sz w:val="32"/>
          <w:szCs w:val="32"/>
        </w:rPr>
        <w:t>开展全省排污许可核查技术支撑。</w:t>
      </w:r>
      <w:r>
        <w:rPr>
          <w:rFonts w:hint="eastAsia" w:ascii="仿宋_GB2312" w:hAnsi="宋体" w:eastAsia="仿宋_GB2312"/>
          <w:sz w:val="32"/>
          <w:szCs w:val="32"/>
        </w:rPr>
        <w:t>配合省厅对长沙市等8个地市开展建设项目环评要求落实情况专项检查和固定污染源排污许可质量核查工作，精准指导企业落实环评和排污许可的管理要求，为生态环境高质量发展贡献力量。</w:t>
      </w:r>
    </w:p>
    <w:p>
      <w:pPr>
        <w:ind w:firstLine="660"/>
        <w:rPr>
          <w:rFonts w:ascii="仿宋_GB2312" w:eastAsia="仿宋_GB2312"/>
          <w:b/>
          <w:sz w:val="32"/>
          <w:szCs w:val="32"/>
        </w:rPr>
      </w:pPr>
      <w:r>
        <w:rPr>
          <w:rFonts w:hint="eastAsia" w:ascii="仿宋_GB2312" w:eastAsia="仿宋_GB2312"/>
          <w:b/>
          <w:sz w:val="32"/>
          <w:szCs w:val="32"/>
        </w:rPr>
        <w:t>2、</w:t>
      </w:r>
      <w:r>
        <w:rPr>
          <w:rFonts w:hint="eastAsia" w:ascii="楷体" w:hAnsi="楷体" w:eastAsia="楷体"/>
          <w:b/>
          <w:sz w:val="32"/>
          <w:szCs w:val="32"/>
        </w:rPr>
        <w:t>参与“碧水保卫战”方面</w:t>
      </w:r>
    </w:p>
    <w:p>
      <w:pPr>
        <w:ind w:firstLine="660"/>
        <w:rPr>
          <w:rFonts w:ascii="仿宋_GB2312" w:eastAsia="仿宋_GB2312"/>
          <w:b/>
          <w:sz w:val="32"/>
          <w:szCs w:val="32"/>
        </w:rPr>
      </w:pPr>
      <w:r>
        <w:rPr>
          <w:rFonts w:hint="eastAsia" w:ascii="仿宋_GB2312" w:eastAsia="仿宋_GB2312"/>
          <w:b/>
          <w:sz w:val="32"/>
          <w:szCs w:val="32"/>
        </w:rPr>
        <w:t>编制《洞庭湖总磷削减攻坚战行动计划》。</w:t>
      </w:r>
      <w:r>
        <w:rPr>
          <w:rFonts w:hint="eastAsia" w:ascii="仿宋_GB2312" w:eastAsia="仿宋_GB2312"/>
          <w:sz w:val="32"/>
          <w:szCs w:val="32"/>
        </w:rPr>
        <w:t>协助省厅和省发改委共同编制了《洞庭湖总磷削减攻坚战行动计划》（2021-2025年），并建立项目库，为纵深推进洞庭湖生态环境保护修复、不断降低湖体总磷浓度、持续改善湖区水生态环境提供有力保障</w:t>
      </w:r>
      <w:r>
        <w:rPr>
          <w:rFonts w:hint="eastAsia" w:ascii="仿宋_GB2312" w:eastAsia="仿宋_GB2312"/>
          <w:b/>
          <w:sz w:val="32"/>
          <w:szCs w:val="32"/>
        </w:rPr>
        <w:t>。</w:t>
      </w:r>
    </w:p>
    <w:p>
      <w:pPr>
        <w:pStyle w:val="13"/>
        <w:spacing w:line="336" w:lineRule="auto"/>
        <w:ind w:firstLine="643"/>
        <w:rPr>
          <w:rFonts w:ascii="仿宋_GB2312" w:eastAsia="仿宋_GB2312"/>
          <w:b/>
          <w:sz w:val="32"/>
          <w:szCs w:val="32"/>
        </w:rPr>
      </w:pPr>
      <w:r>
        <w:rPr>
          <w:rFonts w:hint="eastAsia" w:ascii="仿宋_GB2312" w:eastAsia="仿宋_GB2312"/>
          <w:b/>
          <w:sz w:val="32"/>
          <w:szCs w:val="32"/>
        </w:rPr>
        <w:t>推进饮用水水源环境保护。</w:t>
      </w:r>
      <w:r>
        <w:rPr>
          <w:rFonts w:hint="eastAsia" w:ascii="仿宋_GB2312" w:eastAsia="仿宋_GB2312"/>
          <w:sz w:val="32"/>
          <w:szCs w:val="32"/>
        </w:rPr>
        <w:t>拟定了湖南省城乡饮用水安全保障三年行动工作方案，开展全省集中式饮用水清单核查；协助省厅核定省内已划定和未划定保护区清单；全面梳理2021年环境整治任务清单；制订千吨万人矢量数据技术规范，指导市（州）开展矢量数据核查，构建全省饮用水源地矢量数据库；完成了县级和市级水源地评估系统数据更新及市级水源地评估报告编制。</w:t>
      </w:r>
    </w:p>
    <w:p>
      <w:pPr>
        <w:pStyle w:val="13"/>
        <w:spacing w:line="336" w:lineRule="auto"/>
        <w:ind w:firstLine="643"/>
        <w:rPr>
          <w:rFonts w:hint="eastAsia" w:eastAsia="仿宋_GB2312"/>
          <w:bCs/>
          <w:sz w:val="32"/>
          <w:szCs w:val="32"/>
        </w:rPr>
      </w:pPr>
      <w:r>
        <w:rPr>
          <w:rFonts w:hint="eastAsia" w:eastAsia="仿宋_GB2312"/>
          <w:b/>
          <w:sz w:val="32"/>
          <w:szCs w:val="32"/>
        </w:rPr>
        <w:t>协助开展</w:t>
      </w:r>
      <w:r>
        <w:rPr>
          <w:rFonts w:eastAsia="仿宋_GB2312"/>
          <w:b/>
          <w:sz w:val="32"/>
          <w:szCs w:val="32"/>
        </w:rPr>
        <w:t>入河排污口溯源与管理。</w:t>
      </w:r>
      <w:r>
        <w:rPr>
          <w:rFonts w:hint="eastAsia" w:eastAsia="仿宋_GB2312"/>
          <w:bCs/>
          <w:sz w:val="32"/>
          <w:szCs w:val="32"/>
        </w:rPr>
        <w:t>积极支撑省厅完成我省入河排污口溯源管理相关工作，编制了全国首个省级溯源技术指南《湖南省入河排污口溯源技术指南（试行）》（湘环办〔2021〕247 号）以及《《湖南省长江入河排污口整治参考要求（试行）》（ 湘生环委办〔2021〕20号）等规范性文件，基本构建了我省入河排污口工作标准规范体系，有力保障了相关工作的开展，工作成效得到生态环境部的认可。</w:t>
      </w:r>
    </w:p>
    <w:p>
      <w:pPr>
        <w:pStyle w:val="13"/>
        <w:spacing w:line="336" w:lineRule="auto"/>
        <w:ind w:firstLine="643"/>
        <w:rPr>
          <w:rFonts w:eastAsia="仿宋_GB2312"/>
          <w:bCs/>
          <w:sz w:val="32"/>
          <w:szCs w:val="32"/>
        </w:rPr>
      </w:pPr>
      <w:r>
        <w:rPr>
          <w:rFonts w:hint="eastAsia" w:eastAsia="仿宋_GB2312"/>
          <w:b/>
          <w:bCs/>
          <w:sz w:val="32"/>
          <w:szCs w:val="32"/>
        </w:rPr>
        <w:t>参与</w:t>
      </w:r>
      <w:r>
        <w:rPr>
          <w:rFonts w:eastAsia="仿宋_GB2312"/>
          <w:b/>
          <w:bCs/>
          <w:sz w:val="32"/>
          <w:szCs w:val="32"/>
        </w:rPr>
        <w:t>湘江流域铊污染专项整治。</w:t>
      </w:r>
      <w:r>
        <w:rPr>
          <w:rFonts w:eastAsia="仿宋_GB2312"/>
          <w:bCs/>
          <w:sz w:val="32"/>
          <w:szCs w:val="32"/>
        </w:rPr>
        <w:t>编制了《工业企业铊污染防治与管控指导意见（试行）》和《工业企业铊污染防治与管控技术导则》</w:t>
      </w:r>
      <w:r>
        <w:rPr>
          <w:rFonts w:hint="eastAsia" w:eastAsia="仿宋_GB2312"/>
          <w:bCs/>
          <w:sz w:val="32"/>
          <w:szCs w:val="32"/>
        </w:rPr>
        <w:t>，为全省</w:t>
      </w:r>
      <w:r>
        <w:rPr>
          <w:rFonts w:eastAsia="仿宋_GB2312"/>
          <w:bCs/>
          <w:sz w:val="32"/>
          <w:szCs w:val="32"/>
        </w:rPr>
        <w:t>铊污染防治与管控</w:t>
      </w:r>
      <w:r>
        <w:rPr>
          <w:rFonts w:hint="eastAsia" w:eastAsia="仿宋_GB2312"/>
          <w:bCs/>
          <w:sz w:val="32"/>
          <w:szCs w:val="32"/>
        </w:rPr>
        <w:t>提供了有力的技术支撑</w:t>
      </w:r>
      <w:r>
        <w:rPr>
          <w:rFonts w:eastAsia="仿宋_GB2312"/>
          <w:bCs/>
          <w:sz w:val="32"/>
          <w:szCs w:val="32"/>
        </w:rPr>
        <w:t>。</w:t>
      </w:r>
    </w:p>
    <w:p>
      <w:pPr>
        <w:pStyle w:val="13"/>
        <w:spacing w:line="336" w:lineRule="auto"/>
        <w:ind w:firstLine="643"/>
        <w:rPr>
          <w:rFonts w:hint="eastAsia" w:eastAsia="仿宋_GB2312"/>
          <w:b/>
          <w:sz w:val="32"/>
          <w:szCs w:val="32"/>
        </w:rPr>
      </w:pPr>
      <w:r>
        <w:rPr>
          <w:rFonts w:hint="eastAsia" w:ascii="仿宋_GB2312" w:eastAsia="仿宋_GB2312"/>
          <w:b/>
          <w:sz w:val="32"/>
          <w:szCs w:val="32"/>
        </w:rPr>
        <w:t>开展水生态环境管理相关研究。</w:t>
      </w:r>
      <w:r>
        <w:rPr>
          <w:rFonts w:hint="eastAsia" w:ascii="仿宋_GB2312" w:eastAsia="仿宋_GB2312"/>
          <w:sz w:val="32"/>
          <w:szCs w:val="32"/>
        </w:rPr>
        <w:t>编制《湖南省水生态环境管理能力提升方案》《湖南省河湖生态缓冲划定与生态修复规划工作方案》和《湖南省城市水系下游国、省控断面水质分析报告》，为进一步摸清我省水情，持续改善水生态环境提供了科技支持。</w:t>
      </w:r>
    </w:p>
    <w:p>
      <w:pPr>
        <w:ind w:firstLine="660"/>
        <w:rPr>
          <w:rFonts w:ascii="仿宋_GB2312" w:eastAsia="仿宋_GB2312"/>
          <w:b/>
          <w:sz w:val="32"/>
          <w:szCs w:val="32"/>
        </w:rPr>
      </w:pPr>
      <w:r>
        <w:rPr>
          <w:rFonts w:hint="eastAsia" w:ascii="楷体" w:hAnsi="楷体" w:eastAsia="楷体"/>
          <w:b/>
          <w:sz w:val="32"/>
          <w:szCs w:val="32"/>
        </w:rPr>
        <w:t>3、“蓝天保卫战”方面</w:t>
      </w:r>
    </w:p>
    <w:p>
      <w:pPr>
        <w:ind w:firstLine="640" w:firstLineChars="200"/>
        <w:rPr>
          <w:rFonts w:hint="eastAsia" w:ascii="仿宋_GB2312" w:eastAsia="仿宋_GB2312"/>
          <w:b/>
          <w:sz w:val="32"/>
          <w:szCs w:val="32"/>
        </w:rPr>
      </w:pPr>
      <w:r>
        <w:rPr>
          <w:rFonts w:hint="eastAsia" w:ascii="仿宋_GB2312" w:eastAsia="仿宋_GB2312"/>
          <w:b/>
          <w:sz w:val="32"/>
          <w:szCs w:val="32"/>
        </w:rPr>
        <w:t>编制省级方案。</w:t>
      </w:r>
      <w:r>
        <w:rPr>
          <w:rFonts w:hint="eastAsia" w:ascii="仿宋_GB2312" w:eastAsia="仿宋_GB2312"/>
          <w:sz w:val="32"/>
          <w:szCs w:val="32"/>
        </w:rPr>
        <w:t>完成《湖南省2021年度大气污染防治工作方案》编制并发布实施；起草《湖南省2021年度重污染天气应急减排清单修订工作方案》《关于加强轻中度污染天气管控的指导意见》等技术文件。</w:t>
      </w:r>
    </w:p>
    <w:p>
      <w:pPr>
        <w:ind w:firstLine="640" w:firstLineChars="200"/>
        <w:rPr>
          <w:rFonts w:ascii="仿宋_GB2312" w:eastAsia="仿宋_GB2312"/>
          <w:sz w:val="32"/>
          <w:szCs w:val="32"/>
        </w:rPr>
      </w:pPr>
      <w:r>
        <w:rPr>
          <w:rFonts w:hint="eastAsia" w:ascii="仿宋_GB2312" w:eastAsia="仿宋_GB2312"/>
          <w:b/>
          <w:sz w:val="32"/>
          <w:szCs w:val="32"/>
        </w:rPr>
        <w:t>编制行业性指导文件。</w:t>
      </w:r>
      <w:r>
        <w:rPr>
          <w:rFonts w:hint="eastAsia" w:ascii="仿宋_GB2312" w:eastAsia="仿宋_GB2312"/>
          <w:sz w:val="32"/>
          <w:szCs w:val="32"/>
        </w:rPr>
        <w:t>在挥发性有机物污染防治领域，带头完成了《省挥发性有机物（VOCs）污染防治技术及典型案例汇编》《湖南省重点行业挥发性有机物控制技术与现场核查手册》等技术文件的编撰。</w:t>
      </w:r>
    </w:p>
    <w:p>
      <w:pPr>
        <w:ind w:firstLine="640" w:firstLineChars="200"/>
        <w:rPr>
          <w:rFonts w:hint="eastAsia" w:ascii="仿宋_GB2312" w:eastAsia="仿宋_GB2312"/>
          <w:sz w:val="32"/>
          <w:szCs w:val="32"/>
        </w:rPr>
      </w:pPr>
      <w:r>
        <w:rPr>
          <w:rFonts w:hint="eastAsia" w:ascii="仿宋_GB2312" w:eastAsia="仿宋_GB2312"/>
          <w:b/>
          <w:sz w:val="32"/>
          <w:szCs w:val="32"/>
        </w:rPr>
        <w:t>开展应对气候变化研究。</w:t>
      </w:r>
      <w:r>
        <w:rPr>
          <w:rFonts w:hint="eastAsia" w:ascii="仿宋_GB2312" w:eastAsia="仿宋_GB2312"/>
          <w:sz w:val="32"/>
          <w:szCs w:val="32"/>
        </w:rPr>
        <w:t>完成了省应对气候变化基础科研专项、科技部重点研发计划专项、重点企业碳排放复查项目、全省ODS调查、“十四五”湖南省应对气候变化专项规划以及益阳市等5个地市的“十四五”应对气候变化规划项目；承担了湖南省2020年温室气体排放清单、湖南省碳排放达峰方案研究等任务；完成了湖南省减污降碳协同增效实施方案的编制工作。</w:t>
      </w:r>
    </w:p>
    <w:p>
      <w:pPr>
        <w:ind w:firstLine="640" w:firstLineChars="200"/>
        <w:rPr>
          <w:rFonts w:hint="eastAsia" w:ascii="仿宋_GB2312" w:eastAsia="仿宋_GB2312"/>
          <w:sz w:val="32"/>
          <w:szCs w:val="32"/>
        </w:rPr>
      </w:pPr>
      <w:r>
        <w:rPr>
          <w:rFonts w:hint="eastAsia" w:ascii="仿宋_GB2312" w:eastAsia="仿宋_GB2312"/>
          <w:b/>
          <w:sz w:val="32"/>
          <w:szCs w:val="32"/>
        </w:rPr>
        <w:t>深耕碳达峰碳中和领域。</w:t>
      </w:r>
      <w:r>
        <w:rPr>
          <w:rFonts w:hint="eastAsia" w:ascii="仿宋_GB2312" w:eastAsia="仿宋_GB2312"/>
          <w:sz w:val="32"/>
          <w:szCs w:val="32"/>
        </w:rPr>
        <w:t>完成了我省近十年来农业、工业、交通、建筑、能源加工转换等领域的碳排放测算，摸清了全省五大领域10年的碳排放情况。针对不同经济增长情景和能源消费弹性系数，对我省的碳排放达峰方案进行了初步分析，有关成果已上报省政府。以长沙市雨花区为试点区域，探讨区（县）级碳达峰碳中和实现路径。</w:t>
      </w:r>
    </w:p>
    <w:p>
      <w:pPr>
        <w:spacing w:before="120" w:after="120"/>
        <w:ind w:firstLine="660"/>
        <w:rPr>
          <w:rFonts w:ascii="仿宋_GB2312" w:eastAsia="仿宋_GB2312"/>
          <w:b/>
          <w:sz w:val="32"/>
          <w:szCs w:val="32"/>
        </w:rPr>
      </w:pPr>
      <w:r>
        <w:rPr>
          <w:rFonts w:hint="eastAsia" w:ascii="楷体" w:hAnsi="楷体" w:eastAsia="楷体"/>
          <w:b/>
          <w:sz w:val="32"/>
          <w:szCs w:val="32"/>
        </w:rPr>
        <w:t>4、参与“净土保卫战”方面</w:t>
      </w:r>
    </w:p>
    <w:p>
      <w:pPr>
        <w:ind w:firstLine="645"/>
        <w:rPr>
          <w:rFonts w:hint="eastAsia" w:ascii="仿宋_GB2312" w:eastAsia="仿宋_GB2312"/>
          <w:sz w:val="32"/>
          <w:szCs w:val="32"/>
        </w:rPr>
      </w:pPr>
      <w:r>
        <w:rPr>
          <w:rFonts w:hint="eastAsia" w:ascii="仿宋_GB2312" w:eastAsia="仿宋_GB2312"/>
          <w:b/>
          <w:sz w:val="32"/>
          <w:szCs w:val="32"/>
        </w:rPr>
        <w:t>持续推进全省土壤和地下水污染状况调查。</w:t>
      </w:r>
      <w:r>
        <w:rPr>
          <w:rFonts w:hint="eastAsia" w:ascii="仿宋_GB2312" w:eastAsia="仿宋_GB2312"/>
          <w:sz w:val="32"/>
          <w:szCs w:val="32"/>
        </w:rPr>
        <w:t>完成重点行业企业用地土壤污染状况调查成果集成工作，成果已报生态环境部并获得好评；根据文浩副省长专题调度会议精神，编制完成《重点行业企业用地土壤污染状况调查全覆盖工作方案》，正式启动企业用地全覆盖调查工作；积极争取全国典型行业企业及周边土壤污染状况调查试点工作，编制完成《湖南省典型行业企业及周边土壤污染状况调查实施方案》并通过国家入库审查；编制完成《湖南省地下水环境监管能力建设方案》《湖南省化工园区地下水调查评估工作方案》及《湖南省化工园区地下水调查评估实施方案》，作为技术牵头单位组织全省化工园区地下水调查评估工作。</w:t>
      </w:r>
    </w:p>
    <w:p>
      <w:pPr>
        <w:ind w:firstLine="645"/>
        <w:rPr>
          <w:rFonts w:hint="eastAsia" w:ascii="仿宋_GB2312" w:eastAsia="仿宋_GB2312"/>
          <w:sz w:val="32"/>
          <w:szCs w:val="32"/>
        </w:rPr>
      </w:pPr>
      <w:r>
        <w:rPr>
          <w:rFonts w:hint="eastAsia" w:ascii="仿宋_GB2312" w:eastAsia="仿宋_GB2312"/>
          <w:b/>
          <w:sz w:val="32"/>
          <w:szCs w:val="32"/>
        </w:rPr>
        <w:t>技术支撑建设用地污染治理。</w:t>
      </w:r>
      <w:r>
        <w:rPr>
          <w:rFonts w:hint="eastAsia" w:ascii="仿宋_GB2312" w:eastAsia="仿宋_GB2312"/>
          <w:sz w:val="32"/>
          <w:szCs w:val="32"/>
        </w:rPr>
        <w:t>协助省厅制订《湖南省建设用地土壤污染治理行业指导价（试行）》，该文件的编制对指导和规范我省建设用地土壤污染治理行业发展、促进先进土壤污染防治技术推广应用、规范产业政策引导有着重要现实意义。</w:t>
      </w:r>
    </w:p>
    <w:p>
      <w:pPr>
        <w:ind w:firstLine="645"/>
        <w:rPr>
          <w:rFonts w:hint="eastAsia" w:ascii="仿宋_GB2312" w:eastAsia="仿宋_GB2312"/>
          <w:sz w:val="32"/>
          <w:szCs w:val="32"/>
        </w:rPr>
      </w:pPr>
      <w:r>
        <w:rPr>
          <w:rFonts w:hint="eastAsia" w:ascii="仿宋_GB2312" w:eastAsia="仿宋_GB2312"/>
          <w:b/>
          <w:sz w:val="32"/>
          <w:szCs w:val="32"/>
        </w:rPr>
        <w:t>为市、县土壤污染防治工作提供技术帮扶。</w:t>
      </w:r>
      <w:r>
        <w:rPr>
          <w:rFonts w:hint="eastAsia" w:ascii="仿宋_GB2312" w:eastAsia="仿宋_GB2312"/>
          <w:sz w:val="32"/>
          <w:szCs w:val="32"/>
        </w:rPr>
        <w:t>协助省厅开展多轮次的土壤污染防治工作督导帮扶；协助省厅开展土壤生态环境问题审计督查，相关报告已提交至省政府督查室。</w:t>
      </w:r>
    </w:p>
    <w:p>
      <w:pPr>
        <w:ind w:firstLine="640" w:firstLineChars="200"/>
        <w:rPr>
          <w:rFonts w:hint="eastAsia" w:ascii="楷体" w:hAnsi="楷体" w:eastAsia="楷体"/>
          <w:b/>
          <w:sz w:val="32"/>
          <w:szCs w:val="32"/>
        </w:rPr>
      </w:pPr>
      <w:r>
        <w:rPr>
          <w:rFonts w:hint="eastAsia" w:ascii="仿宋_GB2312" w:eastAsia="仿宋_GB2312"/>
          <w:sz w:val="32"/>
          <w:szCs w:val="32"/>
        </w:rPr>
        <w:t>5、</w:t>
      </w:r>
      <w:r>
        <w:rPr>
          <w:rFonts w:hint="eastAsia" w:ascii="楷体" w:hAnsi="楷体" w:eastAsia="楷体"/>
          <w:b/>
          <w:sz w:val="32"/>
          <w:szCs w:val="32"/>
        </w:rPr>
        <w:t>参与固废和重金属治理专项工作</w:t>
      </w:r>
    </w:p>
    <w:p>
      <w:pPr>
        <w:ind w:firstLine="645"/>
        <w:rPr>
          <w:rFonts w:hint="eastAsia" w:ascii="仿宋_GB2312" w:eastAsia="仿宋_GB2312"/>
          <w:sz w:val="32"/>
          <w:szCs w:val="32"/>
        </w:rPr>
      </w:pPr>
      <w:r>
        <w:rPr>
          <w:rFonts w:hint="eastAsia" w:ascii="仿宋_GB2312" w:eastAsia="仿宋_GB2312"/>
          <w:b/>
          <w:sz w:val="32"/>
          <w:szCs w:val="32"/>
        </w:rPr>
        <w:t>尾矿库污染防治工作。</w:t>
      </w:r>
      <w:r>
        <w:rPr>
          <w:rFonts w:hint="eastAsia" w:ascii="仿宋_GB2312" w:eastAsia="仿宋_GB2312"/>
          <w:sz w:val="32"/>
          <w:szCs w:val="32"/>
        </w:rPr>
        <w:t>全面参与省尾矿库污染防治工作，包括实地调查、日常调度、汇报文件编制等，技术支撑的《湖南省尾矿库污染防治“三年行动计划”方案(2021—2023年)》已经发布实施。</w:t>
      </w:r>
    </w:p>
    <w:p>
      <w:pPr>
        <w:ind w:firstLine="645"/>
        <w:rPr>
          <w:rFonts w:hint="eastAsia" w:ascii="仿宋_GB2312" w:eastAsia="仿宋_GB2312"/>
          <w:sz w:val="32"/>
          <w:szCs w:val="32"/>
        </w:rPr>
      </w:pPr>
      <w:r>
        <w:rPr>
          <w:rFonts w:hint="eastAsia" w:ascii="仿宋_GB2312" w:eastAsia="仿宋_GB2312"/>
          <w:b/>
          <w:sz w:val="32"/>
          <w:szCs w:val="32"/>
        </w:rPr>
        <w:t>重金属减排核算专项。</w:t>
      </w:r>
      <w:r>
        <w:rPr>
          <w:rFonts w:hint="eastAsia" w:ascii="仿宋_GB2312" w:eastAsia="仿宋_GB2312"/>
          <w:sz w:val="32"/>
          <w:szCs w:val="32"/>
        </w:rPr>
        <w:t>对全省2021年六大行业新改扩建项目落实重点重金属污染物排放量“减量置换”或“等量替换”的情况进行摸底，并对全省减排潜力进行测算，同时针对全省2018年4月17日前已审批但未建成投产、未进入全口径清单的企业进行了梳理，增大基础排放量。</w:t>
      </w:r>
    </w:p>
    <w:p>
      <w:pPr>
        <w:ind w:firstLine="645"/>
        <w:rPr>
          <w:rFonts w:hint="eastAsia" w:ascii="仿宋_GB2312" w:eastAsia="仿宋_GB2312"/>
          <w:sz w:val="32"/>
          <w:szCs w:val="32"/>
        </w:rPr>
      </w:pPr>
      <w:r>
        <w:rPr>
          <w:rFonts w:hint="eastAsia" w:ascii="仿宋_GB2312" w:eastAsia="仿宋_GB2312"/>
          <w:b/>
          <w:sz w:val="32"/>
          <w:szCs w:val="32"/>
        </w:rPr>
        <w:t>参与危废处置宏观设计。</w:t>
      </w:r>
      <w:r>
        <w:rPr>
          <w:rFonts w:hint="eastAsia" w:ascii="仿宋_GB2312" w:eastAsia="仿宋_GB2312"/>
          <w:bCs/>
          <w:sz w:val="32"/>
          <w:szCs w:val="32"/>
        </w:rPr>
        <w:t>协助省厅编制的</w:t>
      </w:r>
      <w:r>
        <w:rPr>
          <w:rFonts w:hint="eastAsia" w:ascii="仿宋_GB2312" w:eastAsia="仿宋_GB2312"/>
          <w:sz w:val="32"/>
          <w:szCs w:val="32"/>
        </w:rPr>
        <w:t>《关于强化危险废物监管和利用处置能力改革实施方案》已上报省政府；</w:t>
      </w:r>
      <w:r>
        <w:rPr>
          <w:rFonts w:hint="eastAsia" w:ascii="仿宋_GB2312" w:eastAsia="仿宋_GB2312"/>
          <w:bCs/>
          <w:sz w:val="32"/>
          <w:szCs w:val="32"/>
        </w:rPr>
        <w:t>协助省厅编制的</w:t>
      </w:r>
      <w:r>
        <w:rPr>
          <w:rFonts w:hint="eastAsia" w:ascii="仿宋_GB2312" w:eastAsia="仿宋_GB2312"/>
          <w:sz w:val="32"/>
          <w:szCs w:val="32"/>
        </w:rPr>
        <w:t>《花垣县“锰三角”矿业污染综合整治实施方案（2021-2025年）》已通过厅务会审议；</w:t>
      </w:r>
      <w:r>
        <w:rPr>
          <w:rFonts w:hint="eastAsia" w:ascii="仿宋_GB2312" w:eastAsia="仿宋_GB2312"/>
          <w:bCs/>
          <w:sz w:val="32"/>
          <w:szCs w:val="32"/>
        </w:rPr>
        <w:t>协助省厅编制的</w:t>
      </w:r>
      <w:r>
        <w:rPr>
          <w:rFonts w:hint="eastAsia" w:ascii="仿宋_GB2312" w:eastAsia="仿宋_GB2312"/>
          <w:sz w:val="32"/>
          <w:szCs w:val="32"/>
        </w:rPr>
        <w:t>《湖南省水泥窑协同处理危险废物环境保护技术规范》、《湖南省低温裂解处理危险废物环境保护技术规范》等技术文件已完成征求意见稿。</w:t>
      </w:r>
    </w:p>
    <w:p>
      <w:pPr>
        <w:ind w:firstLine="640" w:firstLineChars="200"/>
        <w:rPr>
          <w:rFonts w:hint="eastAsia" w:ascii="楷体" w:hAnsi="楷体" w:eastAsia="楷体"/>
          <w:b/>
          <w:sz w:val="32"/>
          <w:szCs w:val="32"/>
        </w:rPr>
      </w:pPr>
      <w:r>
        <w:rPr>
          <w:rFonts w:hint="eastAsia" w:ascii="仿宋_GB2312" w:eastAsia="仿宋_GB2312"/>
          <w:sz w:val="32"/>
          <w:szCs w:val="32"/>
        </w:rPr>
        <w:t>6、</w:t>
      </w:r>
      <w:r>
        <w:rPr>
          <w:rFonts w:hint="eastAsia" w:ascii="楷体" w:hAnsi="楷体" w:eastAsia="楷体"/>
          <w:b/>
          <w:sz w:val="32"/>
          <w:szCs w:val="32"/>
        </w:rPr>
        <w:t>参与生态环境损害鉴定和突发环境事件应急</w:t>
      </w:r>
    </w:p>
    <w:p>
      <w:pPr>
        <w:ind w:firstLine="640" w:firstLineChars="200"/>
        <w:rPr>
          <w:rFonts w:hint="eastAsia" w:ascii="仿宋_GB2312" w:eastAsia="仿宋_GB2312"/>
          <w:sz w:val="32"/>
          <w:szCs w:val="32"/>
        </w:rPr>
      </w:pPr>
      <w:r>
        <w:rPr>
          <w:rFonts w:hint="eastAsia" w:ascii="仿宋_GB2312" w:eastAsia="仿宋_GB2312"/>
          <w:b/>
          <w:sz w:val="32"/>
          <w:szCs w:val="32"/>
        </w:rPr>
        <w:t>生态环境损害赔偿制度改革。</w:t>
      </w:r>
      <w:r>
        <w:rPr>
          <w:rFonts w:hint="eastAsia" w:ascii="仿宋_GB2312" w:eastAsia="仿宋_GB2312"/>
          <w:sz w:val="32"/>
          <w:szCs w:val="32"/>
        </w:rPr>
        <w:t>协助省厅制订的《湖南省生态环境损害调查办法》等六项生态损害赔偿制度文件已发布实施。配合省厅生态环境损害赔偿领导小组办公室对各类案件线索进行梳理，并承接了17起生态环境损害鉴定评估工作，充实了我省生态环境损害赔偿案例实践库，尤其是“益阳夏顺安等非法采砂鉴定项目”被纳入了2020年最高人民法院环境资源公益诉讼十大典型案例，并入选2021年最高人民法院第31批指导性案例（国家典型案例评价的最高荣誉）；“湘江纸业重油泄漏污染湘江生态环境损害赔偿案例”获得了生态环境部表扬，充分展示了我院良好的鉴定技术水平</w:t>
      </w:r>
    </w:p>
    <w:p>
      <w:pPr>
        <w:ind w:firstLine="640" w:firstLineChars="200"/>
        <w:rPr>
          <w:rFonts w:ascii="仿宋_GB2312" w:hAnsi="宋体" w:eastAsia="仿宋_GB2312"/>
          <w:sz w:val="32"/>
          <w:szCs w:val="32"/>
        </w:rPr>
      </w:pPr>
      <w:r>
        <w:rPr>
          <w:rFonts w:hint="eastAsia" w:ascii="仿宋_GB2312" w:hAnsi="宋体" w:eastAsia="仿宋_GB2312"/>
          <w:b/>
          <w:sz w:val="32"/>
          <w:szCs w:val="32"/>
        </w:rPr>
        <w:t>积极支持生态环境公益诉讼。</w:t>
      </w:r>
      <w:r>
        <w:rPr>
          <w:rFonts w:hint="eastAsia" w:ascii="仿宋_GB2312" w:eastAsia="仿宋_GB2312"/>
          <w:sz w:val="32"/>
          <w:szCs w:val="32"/>
        </w:rPr>
        <w:t>协助省厅编制的</w:t>
      </w:r>
      <w:r>
        <w:rPr>
          <w:rFonts w:hint="eastAsia" w:ascii="仿宋_GB2312" w:hAnsi="宋体" w:eastAsia="仿宋_GB2312"/>
          <w:sz w:val="32"/>
          <w:szCs w:val="32"/>
        </w:rPr>
        <w:t>《湖南省人民检察院 湖南省生态环境厅关于在生态环境检察公益诉讼领域开展技术合作暂行办法》，已由省人民检察院和省生态环境厅联合发文实施；启动司法技术联合实验室建设工作，实验室建成后可为我省生态环境检察公益诉讼案件的现场勘验、检测、评估、技术性证据审查等提供强有力的技术支撑。</w:t>
      </w:r>
    </w:p>
    <w:p>
      <w:pPr>
        <w:ind w:firstLine="627" w:firstLineChars="196"/>
        <w:rPr>
          <w:rFonts w:hint="eastAsia" w:ascii="仿宋_GB2312" w:eastAsia="仿宋_GB2312"/>
          <w:sz w:val="32"/>
          <w:szCs w:val="32"/>
        </w:rPr>
      </w:pPr>
      <w:r>
        <w:rPr>
          <w:rFonts w:hint="eastAsia" w:ascii="仿宋_GB2312" w:eastAsia="仿宋_GB2312"/>
          <w:b/>
          <w:sz w:val="32"/>
          <w:szCs w:val="32"/>
        </w:rPr>
        <w:t>提供突发环境事件应急技术支撑。</w:t>
      </w:r>
      <w:r>
        <w:rPr>
          <w:rFonts w:hint="eastAsia" w:ascii="仿宋_GB2312" w:eastAsia="仿宋_GB2312"/>
          <w:sz w:val="32"/>
          <w:szCs w:val="32"/>
        </w:rPr>
        <w:t>编制了我省主要河流流域突发水污染事件“南阳实践”工作方案和2021年我省河（湖）突发水污染事件应急“一河一策”试点工作方案；完成了《湖南省突发环境事件应急预案》修订工作；全年参与了洞口平溪江锑浓度异常事件、邵阳市隆回县铊污染事件、资江干流娄底至益阳段锑浓度异常事件、株洲醴陵官庄水库锰异常事件等4起突发环境事件的应急处置。</w:t>
      </w:r>
    </w:p>
    <w:p>
      <w:pPr>
        <w:pStyle w:val="2"/>
        <w:ind w:firstLine="640" w:firstLineChars="200"/>
        <w:rPr>
          <w:rFonts w:hint="eastAsia" w:ascii="楷体" w:hAnsi="楷体" w:eastAsia="楷体"/>
        </w:rPr>
      </w:pPr>
      <w:r>
        <w:rPr>
          <w:rFonts w:hint="eastAsia" w:ascii="楷体" w:hAnsi="楷体" w:eastAsia="楷体"/>
        </w:rPr>
        <w:t>（四）聚焦竞争性科研项目，提升科研层次</w:t>
      </w:r>
    </w:p>
    <w:p>
      <w:pPr>
        <w:ind w:firstLine="645"/>
        <w:rPr>
          <w:rFonts w:hint="eastAsia" w:ascii="仿宋_GB2312" w:eastAsia="仿宋_GB2312"/>
          <w:sz w:val="32"/>
          <w:szCs w:val="32"/>
          <w:highlight w:val="yellow"/>
        </w:rPr>
      </w:pPr>
      <w:r>
        <w:rPr>
          <w:rFonts w:hint="eastAsia" w:ascii="仿宋_GB2312" w:eastAsia="仿宋_GB2312"/>
          <w:b/>
          <w:sz w:val="32"/>
          <w:szCs w:val="32"/>
        </w:rPr>
        <w:t>一批高水平科研项目成功立项。</w:t>
      </w:r>
      <w:r>
        <w:rPr>
          <w:rFonts w:hint="eastAsia" w:ascii="仿宋_GB2312" w:eastAsia="仿宋_GB2312"/>
          <w:sz w:val="32"/>
          <w:szCs w:val="32"/>
        </w:rPr>
        <w:t>2021年，我院申报湖湘高层次人才创新团队“生态环境监测与评价技术创新团队”项目1项；</w:t>
      </w:r>
      <w:r>
        <w:rPr>
          <w:rFonts w:hint="eastAsia" w:ascii="仿宋_GB2312" w:hAnsi="微软雅黑" w:eastAsia="仿宋_GB2312" w:cs="微软雅黑"/>
          <w:sz w:val="32"/>
          <w:szCs w:val="32"/>
        </w:rPr>
        <w:t>成功申报省科技厅重点研发计划项目2项、</w:t>
      </w:r>
      <w:r>
        <w:rPr>
          <w:rFonts w:hint="eastAsia" w:ascii="仿宋_GB2312" w:eastAsia="仿宋_GB2312"/>
          <w:sz w:val="32"/>
          <w:szCs w:val="32"/>
        </w:rPr>
        <w:t>参与</w:t>
      </w:r>
      <w:r>
        <w:rPr>
          <w:rFonts w:hint="eastAsia" w:ascii="仿宋_GB2312" w:hAnsi="微软雅黑" w:eastAsia="仿宋_GB2312" w:cs="微软雅黑"/>
          <w:sz w:val="32"/>
          <w:szCs w:val="32"/>
        </w:rPr>
        <w:t>重点研发计划项目2项、参与</w:t>
      </w:r>
      <w:r>
        <w:rPr>
          <w:rFonts w:hint="eastAsia" w:ascii="仿宋_GB2312" w:eastAsia="仿宋_GB2312"/>
          <w:sz w:val="32"/>
          <w:szCs w:val="32"/>
        </w:rPr>
        <w:t>高新技术产业科技创新引领计划项目1项</w:t>
      </w:r>
      <w:r>
        <w:rPr>
          <w:rFonts w:hint="eastAsia" w:ascii="仿宋_GB2312" w:hAnsi="微软雅黑" w:eastAsia="仿宋_GB2312" w:cs="微软雅黑"/>
          <w:sz w:val="32"/>
          <w:szCs w:val="32"/>
        </w:rPr>
        <w:t>、参与</w:t>
      </w:r>
      <w:r>
        <w:rPr>
          <w:rFonts w:hint="eastAsia" w:ascii="仿宋_GB2312" w:eastAsia="仿宋_GB2312"/>
          <w:sz w:val="32"/>
          <w:szCs w:val="32"/>
        </w:rPr>
        <w:t>郴州国家可持续发展议程创新示范区省级专项2项；主持省生态环境厅重点科研项目1项、参与1项，主持一般科研项目3项；成功入围生态环境部细颗粒物与臭氧协同控制“一市一策”驻点跟踪研究团队，牵头承担了长沙市细颗粒物与臭氧协同控制“一市一策”驻点跟踪研究项目；院内启动100万科研基金支持了6项科研项目，助力我院科研创新项目孵化。</w:t>
      </w:r>
    </w:p>
    <w:p>
      <w:pPr>
        <w:ind w:firstLine="645"/>
        <w:rPr>
          <w:rFonts w:hint="eastAsia" w:ascii="仿宋_GB2312" w:eastAsia="仿宋_GB2312"/>
          <w:sz w:val="32"/>
          <w:szCs w:val="32"/>
        </w:rPr>
      </w:pPr>
      <w:r>
        <w:rPr>
          <w:rFonts w:hint="eastAsia" w:ascii="仿宋_GB2312" w:eastAsia="仿宋_GB2312"/>
          <w:b/>
          <w:sz w:val="32"/>
          <w:szCs w:val="32"/>
        </w:rPr>
        <w:t>一批省部级研发项目顺利结题。</w:t>
      </w:r>
      <w:r>
        <w:rPr>
          <w:rFonts w:hint="eastAsia" w:ascii="仿宋_GB2312" w:eastAsia="仿宋_GB2312"/>
          <w:bCs/>
          <w:sz w:val="32"/>
          <w:szCs w:val="32"/>
        </w:rPr>
        <w:t>顺利</w:t>
      </w:r>
      <w:r>
        <w:rPr>
          <w:rFonts w:hint="eastAsia" w:ascii="仿宋_GB2312" w:hAnsi="华文楷体" w:eastAsia="仿宋_GB2312"/>
          <w:sz w:val="32"/>
          <w:szCs w:val="32"/>
        </w:rPr>
        <w:t>完成了生态环境部主持的长江生态环境保护修复驻点跟踪研究一期工作验收，得到生态环境部的好评；</w:t>
      </w:r>
      <w:r>
        <w:rPr>
          <w:rFonts w:hint="eastAsia" w:ascii="仿宋_GB2312" w:eastAsia="仿宋_GB2312"/>
          <w:sz w:val="32"/>
          <w:szCs w:val="32"/>
        </w:rPr>
        <w:t>省环保专项资金项目“长株潭细颗粒物及臭氧源解析”已完成全部研发任务并形成最终成果；“洞庭湖总磷污染成因解析及防控对策研究”基本完成；黑臭水体微生物治理技术研究、氨氮重金属复合废水处理技术研究、复杂难处理废水深度净化技术与装备研发等省重点研发计划项目已完成结题验收报告；金属采选/冶炼和化工场地重点污染源环境风险防治途径、黑色采选/冶炼污染物排放及其场地污染特征、污染场地修复后评估技术、复杂钒矿清洁提取关键技术及应用示范等项目完成中期评估。</w:t>
      </w:r>
    </w:p>
    <w:p>
      <w:pPr>
        <w:ind w:firstLine="645"/>
        <w:rPr>
          <w:rFonts w:hint="eastAsia" w:ascii="仿宋_GB2312" w:eastAsia="仿宋_GB2312"/>
          <w:sz w:val="32"/>
          <w:szCs w:val="32"/>
        </w:rPr>
      </w:pPr>
      <w:r>
        <w:rPr>
          <w:rFonts w:hint="eastAsia" w:ascii="仿宋_GB2312" w:eastAsia="仿宋_GB2312"/>
          <w:b/>
          <w:sz w:val="32"/>
          <w:szCs w:val="32"/>
        </w:rPr>
        <w:t>科技成果突出。</w:t>
      </w:r>
      <w:r>
        <w:rPr>
          <w:rFonts w:hint="eastAsia" w:ascii="仿宋_GB2312" w:eastAsia="仿宋_GB2312"/>
          <w:sz w:val="32"/>
          <w:szCs w:val="32"/>
        </w:rPr>
        <w:t>全年共发表核心期刊以上论文21篇，其中SCI/EI论文11篇；授权发明专利3项、新型实用专利9项；完成国内领先技术成果鉴定1项；签订技术成果转让1项。</w:t>
      </w:r>
    </w:p>
    <w:p>
      <w:pPr>
        <w:pStyle w:val="2"/>
        <w:ind w:firstLine="640" w:firstLineChars="200"/>
        <w:rPr>
          <w:rFonts w:hint="eastAsia" w:ascii="楷体" w:hAnsi="楷体" w:eastAsia="楷体"/>
        </w:rPr>
      </w:pPr>
      <w:r>
        <w:rPr>
          <w:rFonts w:hint="eastAsia" w:ascii="楷体" w:hAnsi="楷体" w:eastAsia="楷体"/>
        </w:rPr>
        <w:t>（五）解决环境突出问题，开展横向咨询服务</w:t>
      </w:r>
    </w:p>
    <w:p>
      <w:pPr>
        <w:ind w:firstLine="660"/>
        <w:rPr>
          <w:rFonts w:eastAsia="仿宋"/>
          <w:color w:val="000000"/>
          <w:sz w:val="32"/>
          <w:szCs w:val="32"/>
        </w:rPr>
      </w:pPr>
      <w:r>
        <w:rPr>
          <w:rFonts w:hint="eastAsia" w:ascii="仿宋_GB2312" w:eastAsia="仿宋_GB2312"/>
          <w:sz w:val="32"/>
          <w:szCs w:val="32"/>
        </w:rPr>
        <w:t>为切实解决一批省委省政府和群众关注的突出环境生态问题，全院干部职工发扬迎难而上、攻坚克难、勇挑重担的工作作风，承担了大量技术咨询工作。生产经营情况持续稳中向好，全院签订横向技术合同额近亿元，咨询报告质量持续提高，得到业主和政府部门认可，如</w:t>
      </w:r>
      <w:r>
        <w:rPr>
          <w:rFonts w:hint="eastAsia" w:ascii="仿宋_GB2312" w:eastAsia="仿宋_GB2312" w:cs="仿宋_GB2312"/>
          <w:bCs/>
          <w:color w:val="000000"/>
          <w:sz w:val="32"/>
          <w:szCs w:val="32"/>
        </w:rPr>
        <w:t>金龙矿业环境污染情况调查及整治方案、长江经济带津市高新区生态环保问题整改方案、石门县原雄黄矿区地下水砷污染治理项目工程设计项目、</w:t>
      </w:r>
      <w:r>
        <w:rPr>
          <w:rFonts w:eastAsia="仿宋"/>
          <w:color w:val="000000"/>
          <w:sz w:val="32"/>
          <w:szCs w:val="32"/>
        </w:rPr>
        <w:t>鼎城区石板滩石煤矿区历史遗留生态环境问题整治技术方案</w:t>
      </w:r>
      <w:r>
        <w:rPr>
          <w:rFonts w:hint="eastAsia" w:eastAsia="仿宋"/>
          <w:color w:val="000000"/>
          <w:sz w:val="32"/>
          <w:szCs w:val="32"/>
        </w:rPr>
        <w:t>、</w:t>
      </w:r>
      <w:r>
        <w:rPr>
          <w:rFonts w:eastAsia="仿宋"/>
          <w:color w:val="000000"/>
          <w:sz w:val="32"/>
          <w:szCs w:val="32"/>
        </w:rPr>
        <w:t>洪江市响溪金矿周边锑污染来源调查及综合治理实施方案</w:t>
      </w:r>
      <w:r>
        <w:rPr>
          <w:rFonts w:hint="eastAsia" w:eastAsia="仿宋"/>
          <w:color w:val="000000"/>
          <w:sz w:val="32"/>
          <w:szCs w:val="32"/>
        </w:rPr>
        <w:t>、</w:t>
      </w:r>
      <w:r>
        <w:rPr>
          <w:rFonts w:eastAsia="仿宋"/>
          <w:color w:val="000000"/>
          <w:sz w:val="32"/>
          <w:szCs w:val="32"/>
        </w:rPr>
        <w:t>江永县桃川镇非凡化工厂综合治理实施方案</w:t>
      </w:r>
      <w:r>
        <w:rPr>
          <w:rFonts w:hint="eastAsia" w:eastAsia="仿宋"/>
          <w:color w:val="000000"/>
          <w:sz w:val="32"/>
          <w:szCs w:val="32"/>
        </w:rPr>
        <w:t>、嘉禾县铸造业转型升级、临武县甘溪河氟、砷超标整治方案</w:t>
      </w:r>
      <w:r>
        <w:rPr>
          <w:rFonts w:eastAsia="仿宋"/>
          <w:color w:val="000000"/>
          <w:sz w:val="32"/>
          <w:szCs w:val="32"/>
        </w:rPr>
        <w:t>等</w:t>
      </w:r>
      <w:r>
        <w:rPr>
          <w:rFonts w:hint="eastAsia" w:eastAsia="仿宋"/>
          <w:color w:val="000000"/>
          <w:sz w:val="32"/>
          <w:szCs w:val="32"/>
        </w:rPr>
        <w:t>涉及中央、省</w:t>
      </w:r>
      <w:r>
        <w:rPr>
          <w:rFonts w:eastAsia="仿宋"/>
          <w:color w:val="000000"/>
          <w:sz w:val="32"/>
          <w:szCs w:val="32"/>
        </w:rPr>
        <w:t>生态环境保护督</w:t>
      </w:r>
      <w:r>
        <w:rPr>
          <w:rFonts w:hint="eastAsia" w:eastAsia="仿宋"/>
          <w:color w:val="000000"/>
          <w:sz w:val="32"/>
          <w:szCs w:val="32"/>
        </w:rPr>
        <w:t>察</w:t>
      </w:r>
      <w:r>
        <w:rPr>
          <w:rFonts w:eastAsia="仿宋"/>
          <w:color w:val="000000"/>
          <w:sz w:val="32"/>
          <w:szCs w:val="32"/>
        </w:rPr>
        <w:t>反馈</w:t>
      </w:r>
      <w:r>
        <w:rPr>
          <w:rFonts w:hint="eastAsia" w:eastAsia="仿宋"/>
          <w:color w:val="000000"/>
          <w:sz w:val="32"/>
          <w:szCs w:val="32"/>
        </w:rPr>
        <w:t>或</w:t>
      </w:r>
      <w:r>
        <w:rPr>
          <w:rFonts w:eastAsia="仿宋"/>
          <w:color w:val="000000"/>
          <w:sz w:val="32"/>
          <w:szCs w:val="32"/>
        </w:rPr>
        <w:t>长江经济带警示片披露问题整改技术方案</w:t>
      </w:r>
      <w:r>
        <w:rPr>
          <w:rFonts w:hint="eastAsia" w:eastAsia="仿宋"/>
          <w:color w:val="000000"/>
          <w:sz w:val="32"/>
          <w:szCs w:val="32"/>
        </w:rPr>
        <w:t>的</w:t>
      </w:r>
      <w:r>
        <w:rPr>
          <w:rFonts w:eastAsia="仿宋"/>
          <w:color w:val="000000"/>
          <w:sz w:val="32"/>
          <w:szCs w:val="32"/>
        </w:rPr>
        <w:t>编制</w:t>
      </w:r>
      <w:r>
        <w:rPr>
          <w:rFonts w:hint="eastAsia" w:eastAsia="仿宋"/>
          <w:color w:val="000000"/>
          <w:sz w:val="32"/>
          <w:szCs w:val="32"/>
        </w:rPr>
        <w:t>工作、为浏阳经济开发区提供环境污染第三方治理服务等，均取得了良好的社会效益。</w:t>
      </w:r>
    </w:p>
    <w:p>
      <w:pPr>
        <w:pStyle w:val="2"/>
        <w:ind w:firstLine="640" w:firstLineChars="200"/>
        <w:rPr>
          <w:rFonts w:hint="eastAsia" w:ascii="楷体" w:hAnsi="楷体" w:eastAsia="楷体"/>
        </w:rPr>
      </w:pPr>
      <w:r>
        <w:rPr>
          <w:rFonts w:hint="eastAsia" w:ascii="楷体" w:hAnsi="楷体" w:eastAsia="楷体"/>
        </w:rPr>
        <w:t>（六）抓好制度修订和能力建设，提升内部管理水平</w:t>
      </w:r>
    </w:p>
    <w:p>
      <w:pPr>
        <w:rPr>
          <w:rFonts w:hint="eastAsia" w:ascii="仿宋_GB2312" w:hAnsi="宋体" w:eastAsia="仿宋_GB2312"/>
          <w:sz w:val="32"/>
          <w:szCs w:val="32"/>
        </w:rPr>
      </w:pPr>
      <w:r>
        <w:rPr>
          <w:rFonts w:hint="eastAsia" w:ascii="仿宋_GB2312" w:hAnsi="宋体" w:eastAsia="仿宋_GB2312"/>
          <w:sz w:val="32"/>
          <w:szCs w:val="32"/>
        </w:rPr>
        <w:t xml:space="preserve">    </w:t>
      </w:r>
      <w:r>
        <w:rPr>
          <w:rFonts w:hint="eastAsia" w:ascii="仿宋_GB2312" w:hAnsi="宋体" w:eastAsia="仿宋_GB2312"/>
          <w:b/>
          <w:sz w:val="32"/>
          <w:szCs w:val="32"/>
        </w:rPr>
        <w:t>1、修订管理制度。</w:t>
      </w:r>
      <w:r>
        <w:rPr>
          <w:rFonts w:hint="eastAsia" w:ascii="仿宋_GB2312" w:hAnsi="宋体" w:eastAsia="仿宋_GB2312"/>
          <w:sz w:val="32"/>
          <w:szCs w:val="32"/>
        </w:rPr>
        <w:t>按照鼓励科研人员多出成果、提倡开展实用技术研究的思路，对《科研奖励制度》《职务科技成果转化制度》等进行修订，加强了对科研成果及其转化的奖励。同时，全面开展技术合同认定，保障了科研人员开展横向业务的合法收入，提振了全院科研人员的信心。</w:t>
      </w:r>
    </w:p>
    <w:p>
      <w:pPr>
        <w:rPr>
          <w:rFonts w:hint="eastAsia" w:ascii="仿宋_GB2312" w:hAnsi="宋体" w:eastAsia="仿宋_GB2312"/>
          <w:sz w:val="32"/>
          <w:szCs w:val="32"/>
        </w:rPr>
      </w:pPr>
      <w:r>
        <w:rPr>
          <w:rFonts w:hint="eastAsia" w:ascii="仿宋_GB2312" w:hAnsi="宋体" w:eastAsia="仿宋_GB2312"/>
          <w:sz w:val="32"/>
          <w:szCs w:val="32"/>
        </w:rPr>
        <w:t xml:space="preserve">    </w:t>
      </w:r>
      <w:r>
        <w:rPr>
          <w:rFonts w:ascii="仿宋_GB2312" w:hAnsi="宋体" w:eastAsia="仿宋_GB2312"/>
          <w:b/>
          <w:sz w:val="32"/>
          <w:szCs w:val="32"/>
        </w:rPr>
        <w:t>2</w:t>
      </w:r>
      <w:r>
        <w:rPr>
          <w:rFonts w:hint="eastAsia" w:ascii="仿宋_GB2312" w:hAnsi="宋体" w:eastAsia="仿宋_GB2312"/>
          <w:b/>
          <w:sz w:val="32"/>
          <w:szCs w:val="32"/>
        </w:rPr>
        <w:t>、强化质量管理。</w:t>
      </w:r>
      <w:r>
        <w:rPr>
          <w:rFonts w:hint="eastAsia" w:ascii="仿宋_GB2312" w:hAnsi="宋体" w:eastAsia="仿宋_GB2312"/>
          <w:sz w:val="32"/>
          <w:szCs w:val="32"/>
        </w:rPr>
        <w:t>完成了新一轮质量管理体系内、外审与换证工作，并对程序文件进行了适当修改，顺利取得新版ISO9001:2015证书，管理体系在推动我院高质量发展方面发挥了更大作用。</w:t>
      </w:r>
    </w:p>
    <w:p>
      <w:pPr>
        <w:ind w:firstLine="640" w:firstLineChars="200"/>
        <w:rPr>
          <w:rFonts w:hint="eastAsia" w:ascii="仿宋_GB2312" w:eastAsia="仿宋_GB2312"/>
          <w:sz w:val="32"/>
          <w:szCs w:val="32"/>
        </w:rPr>
      </w:pPr>
      <w:r>
        <w:rPr>
          <w:rFonts w:hint="eastAsia" w:ascii="仿宋_GB2312" w:eastAsia="仿宋_GB2312"/>
          <w:b/>
          <w:sz w:val="32"/>
          <w:szCs w:val="32"/>
        </w:rPr>
        <w:t>3、不断提升能力建设。</w:t>
      </w:r>
      <w:r>
        <w:rPr>
          <w:rFonts w:hint="eastAsia" w:ascii="仿宋_GB2312" w:eastAsia="仿宋_GB2312"/>
          <w:bCs/>
          <w:sz w:val="32"/>
          <w:szCs w:val="32"/>
        </w:rPr>
        <w:t>2021年我院引进博士3个、硕士研究生（副高）2个，9人获评副高、1人获评正高；</w:t>
      </w:r>
      <w:r>
        <w:rPr>
          <w:rFonts w:hint="eastAsia" w:ascii="仿宋_GB2312" w:eastAsia="仿宋_GB2312"/>
          <w:sz w:val="32"/>
          <w:szCs w:val="32"/>
        </w:rPr>
        <w:t>当选为新一届湖南省环境科学学会副理事长单位和移动源大气污染控制专业委员会主任委员单位；为进一步提升科研能力和硬件水平，在省厅的支持下，新购了全自动流动注射分析仪、快速溶剂萃取仪等一批急需的设备，陆续装备到科研与检测实验室；在湖南省产业协会监测专委会组织的环境监测上岗证考核工作中被评为“五星级”监测服务能力单位；积极推动湖南高分中心生态环境保护分中心的建设，已经取得省委军民融合办公室的立项批复，预计2022年一季度正式运行。</w:t>
      </w:r>
    </w:p>
    <w:p>
      <w:pPr>
        <w:ind w:firstLine="660"/>
        <w:rPr>
          <w:rFonts w:ascii="仿宋_GB2312" w:eastAsia="仿宋_GB2312"/>
          <w:sz w:val="32"/>
          <w:szCs w:val="32"/>
        </w:rPr>
      </w:pPr>
      <w:r>
        <w:rPr>
          <w:rFonts w:hint="eastAsia" w:ascii="仿宋_GB2312" w:eastAsia="仿宋_GB2312"/>
          <w:b/>
          <w:sz w:val="32"/>
          <w:szCs w:val="32"/>
        </w:rPr>
        <w:t>4、认真开展整改。</w:t>
      </w:r>
      <w:r>
        <w:rPr>
          <w:rFonts w:hint="eastAsia" w:ascii="仿宋_GB2312" w:eastAsia="仿宋_GB2312"/>
          <w:sz w:val="32"/>
          <w:szCs w:val="32"/>
        </w:rPr>
        <w:t>结合省财政厅中央水污染专项资金检查，我院直面问题、抓好整改，争取到上级主管部门的理解和支持，同时举一反三进行自查，对相关制度进行修订，建立长效机制，从源头防止类似问题再发生。</w:t>
      </w:r>
    </w:p>
    <w:p>
      <w:pPr>
        <w:pStyle w:val="11"/>
        <w:spacing w:line="60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pPr>
        <w:ind w:firstLine="660"/>
        <w:rPr>
          <w:rFonts w:hint="eastAsia" w:ascii="仿宋_GB2312" w:eastAsia="仿宋_GB2312"/>
          <w:sz w:val="32"/>
          <w:szCs w:val="32"/>
        </w:rPr>
      </w:pPr>
      <w:r>
        <w:rPr>
          <w:rFonts w:hint="eastAsia" w:ascii="仿宋_GB2312" w:eastAsia="仿宋_GB2312"/>
          <w:b/>
          <w:sz w:val="32"/>
          <w:szCs w:val="32"/>
        </w:rPr>
        <w:t>1、服务省厅的工作质量还需进一步提升。</w:t>
      </w:r>
      <w:r>
        <w:rPr>
          <w:rFonts w:hint="eastAsia" w:ascii="仿宋_GB2312" w:eastAsia="仿宋_GB2312"/>
          <w:sz w:val="32"/>
          <w:szCs w:val="32"/>
        </w:rPr>
        <w:t>我院对省厅各处室进行了全面、有力的技术支持，但仍存在技术报告水平参差不齐、服务水平不够等问题。下一步，要完善技术报告分级审核制度，不断提升工作质量。</w:t>
      </w:r>
    </w:p>
    <w:p>
      <w:pPr>
        <w:ind w:firstLine="660"/>
        <w:rPr>
          <w:rFonts w:hint="eastAsia" w:ascii="仿宋_GB2312" w:eastAsia="仿宋_GB2312"/>
          <w:sz w:val="32"/>
          <w:szCs w:val="32"/>
        </w:rPr>
      </w:pPr>
      <w:r>
        <w:rPr>
          <w:rFonts w:hint="eastAsia" w:ascii="仿宋_GB2312" w:eastAsia="仿宋_GB2312"/>
          <w:b/>
          <w:sz w:val="32"/>
          <w:szCs w:val="32"/>
        </w:rPr>
        <w:t>2、科研水平仍不够强。</w:t>
      </w:r>
      <w:r>
        <w:rPr>
          <w:rFonts w:hint="eastAsia" w:ascii="仿宋_GB2312" w:eastAsia="仿宋_GB2312"/>
          <w:sz w:val="32"/>
          <w:szCs w:val="32"/>
        </w:rPr>
        <w:t>虽然加大了对科研的投入，但承担项目的层次还不够高，有影响力的科研成果不多，尚处在艰难的爬坡过坎阶段。</w:t>
      </w:r>
    </w:p>
    <w:p>
      <w:pPr>
        <w:rPr>
          <w:rFonts w:ascii="仿宋_GB2312" w:eastAsia="仿宋_GB2312"/>
          <w:sz w:val="32"/>
          <w:szCs w:val="32"/>
        </w:rPr>
      </w:pPr>
      <w:r>
        <w:rPr>
          <w:rFonts w:hint="eastAsia" w:ascii="仿宋_GB2312" w:eastAsia="仿宋_GB2312"/>
          <w:sz w:val="32"/>
          <w:szCs w:val="32"/>
        </w:rPr>
        <w:t xml:space="preserve">    </w:t>
      </w:r>
      <w:r>
        <w:rPr>
          <w:rFonts w:ascii="仿宋_GB2312" w:eastAsia="仿宋_GB2312"/>
          <w:b/>
          <w:sz w:val="32"/>
          <w:szCs w:val="32"/>
        </w:rPr>
        <w:t>3</w:t>
      </w:r>
      <w:r>
        <w:rPr>
          <w:rFonts w:hint="eastAsia" w:ascii="仿宋_GB2312" w:eastAsia="仿宋_GB2312"/>
          <w:b/>
          <w:sz w:val="32"/>
          <w:szCs w:val="32"/>
        </w:rPr>
        <w:t>、创收压力进一步增大。</w:t>
      </w:r>
      <w:r>
        <w:rPr>
          <w:rFonts w:hint="eastAsia" w:ascii="仿宋_GB2312" w:eastAsia="仿宋_GB2312"/>
          <w:sz w:val="32"/>
          <w:szCs w:val="32"/>
        </w:rPr>
        <w:t>目前我院主要职能为支撑省厅工作，但因省厅专项工作经费不能用于人员开支，只能靠市场横向创收弥补，今年以来经济下行压力大，地方财政吃紧，回款压力大的局面将逐步凸显。</w:t>
      </w:r>
    </w:p>
    <w:p>
      <w:pPr>
        <w:pStyle w:val="11"/>
        <w:spacing w:line="600" w:lineRule="exact"/>
        <w:ind w:firstLine="640"/>
        <w:rPr>
          <w:rFonts w:ascii="Times New Roman" w:hAnsi="Times New Roman" w:eastAsia="黑体"/>
          <w:sz w:val="32"/>
          <w:szCs w:val="32"/>
        </w:rPr>
      </w:pPr>
      <w:r>
        <w:rPr>
          <w:rFonts w:ascii="Times New Roman" w:hAnsi="Times New Roman" w:eastAsia="黑体"/>
          <w:sz w:val="32"/>
          <w:szCs w:val="32"/>
        </w:rPr>
        <w:t>八、下一步改进措施</w:t>
      </w:r>
    </w:p>
    <w:p>
      <w:pPr>
        <w:ind w:firstLine="630"/>
        <w:rPr>
          <w:rFonts w:hint="eastAsia" w:ascii="仿宋_GB2312" w:eastAsia="仿宋_GB2312"/>
          <w:sz w:val="32"/>
          <w:szCs w:val="32"/>
        </w:rPr>
      </w:pPr>
      <w:r>
        <w:rPr>
          <w:rFonts w:hint="eastAsia" w:ascii="仿宋_GB2312" w:eastAsia="仿宋_GB2312"/>
          <w:b/>
          <w:sz w:val="32"/>
          <w:szCs w:val="32"/>
        </w:rPr>
        <w:t>一是推进“一个规划”。</w:t>
      </w:r>
      <w:r>
        <w:rPr>
          <w:rFonts w:hint="eastAsia" w:ascii="仿宋_GB2312" w:eastAsia="仿宋_GB2312"/>
          <w:sz w:val="32"/>
          <w:szCs w:val="32"/>
        </w:rPr>
        <w:t>出台全院未来五年发展规划，进一步理顺“环境科研、支撑管理、咨询服务”三项职能的关系，为科研单位改革最终落地打好基础。</w:t>
      </w:r>
    </w:p>
    <w:p>
      <w:pPr>
        <w:ind w:firstLine="630"/>
        <w:rPr>
          <w:rFonts w:hint="eastAsia" w:ascii="仿宋_GB2312" w:eastAsia="仿宋_GB2312"/>
          <w:sz w:val="32"/>
          <w:szCs w:val="32"/>
        </w:rPr>
      </w:pPr>
      <w:r>
        <w:rPr>
          <w:rFonts w:hint="eastAsia" w:ascii="仿宋_GB2312" w:eastAsia="仿宋_GB2312"/>
          <w:b/>
          <w:sz w:val="32"/>
          <w:szCs w:val="32"/>
        </w:rPr>
        <w:t>二是提升“两个层次”。</w:t>
      </w:r>
      <w:r>
        <w:rPr>
          <w:rFonts w:hint="eastAsia" w:ascii="仿宋_GB2312" w:eastAsia="仿宋_GB2312"/>
          <w:sz w:val="32"/>
          <w:szCs w:val="32"/>
        </w:rPr>
        <w:t>进一步提升纵向项目和科研成果两个层次。加强与国家层面科研院所及高校的交流联系、探索院内联合申报重大项目、多学科协同作战的机制，力争早日成功申报国家重点研发计划等国家重大科研项目。</w:t>
      </w:r>
    </w:p>
    <w:p>
      <w:pPr>
        <w:ind w:firstLine="630"/>
        <w:rPr>
          <w:rFonts w:hint="eastAsia" w:ascii="仿宋_GB2312" w:eastAsia="仿宋_GB2312"/>
          <w:sz w:val="32"/>
          <w:szCs w:val="32"/>
        </w:rPr>
      </w:pPr>
      <w:r>
        <w:rPr>
          <w:rFonts w:hint="eastAsia" w:ascii="仿宋_GB2312" w:eastAsia="仿宋_GB2312"/>
          <w:b/>
          <w:sz w:val="32"/>
          <w:szCs w:val="32"/>
        </w:rPr>
        <w:t>二是推进“三个建设”。</w:t>
      </w:r>
      <w:r>
        <w:rPr>
          <w:rFonts w:hint="eastAsia" w:ascii="仿宋_GB2312" w:eastAsia="仿宋_GB2312"/>
          <w:sz w:val="32"/>
          <w:szCs w:val="32"/>
        </w:rPr>
        <w:t>采取高层次人才引进和人才派遣双轨并行的模式推进人才队伍建设；抓紧推进科研综合楼建设项目和重金属污染防治工程技术中心项目，提升基础条件；通过内部机构调整、第四期全员聘用等手段不断推进内部管理建设。</w:t>
      </w:r>
    </w:p>
    <w:p>
      <w:pPr>
        <w:ind w:firstLine="630"/>
        <w:rPr>
          <w:rFonts w:hint="eastAsia" w:ascii="仿宋_GB2312" w:eastAsia="仿宋_GB2312"/>
          <w:sz w:val="32"/>
          <w:szCs w:val="32"/>
        </w:rPr>
      </w:pPr>
      <w:r>
        <w:rPr>
          <w:rFonts w:hint="eastAsia" w:ascii="仿宋_GB2312" w:eastAsia="仿宋_GB2312"/>
          <w:b/>
          <w:sz w:val="32"/>
          <w:szCs w:val="32"/>
        </w:rPr>
        <w:t>四是实施“四项工程”。</w:t>
      </w:r>
      <w:r>
        <w:rPr>
          <w:rFonts w:hint="eastAsia" w:ascii="仿宋_GB2312" w:eastAsia="仿宋_GB2312"/>
          <w:sz w:val="32"/>
          <w:szCs w:val="32"/>
        </w:rPr>
        <w:t>进一步完善科研保障机制，实施学术氛围提升工程；进一步完善质量成果审核机制，实施服务质量提升工程；进一步完善横向分配机制，实施职务科技成果转化提升工程；进一步完善对外合作机制，实施国家级重大项目突破工程。</w:t>
      </w:r>
    </w:p>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pgBorders>
        <w:top w:val="none" w:sz="0" w:space="0"/>
        <w:left w:val="none" w:sz="0" w:space="0"/>
        <w:bottom w:val="none" w:sz="0" w:space="0"/>
        <w:right w:val="none" w:sz="0" w:space="0"/>
      </w:pgBorders>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685D9C"/>
    <w:multiLevelType w:val="singleLevel"/>
    <w:tmpl w:val="88685D9C"/>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5N2YxYmI1NjFmOTU3ZWJhMmZiYjAxMjRkMzJmMTQifQ=="/>
  </w:docVars>
  <w:rsids>
    <w:rsidRoot w:val="004506F9"/>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71F3F51"/>
    <w:rsid w:val="0BC22C40"/>
    <w:rsid w:val="0F5D292F"/>
    <w:rsid w:val="11797854"/>
    <w:rsid w:val="11EF355B"/>
    <w:rsid w:val="1B9B2B74"/>
    <w:rsid w:val="1CDF7F44"/>
    <w:rsid w:val="1E6E3A00"/>
    <w:rsid w:val="251C2277"/>
    <w:rsid w:val="28B11D8F"/>
    <w:rsid w:val="2F362A7A"/>
    <w:rsid w:val="34593C3D"/>
    <w:rsid w:val="42126207"/>
    <w:rsid w:val="51A60059"/>
    <w:rsid w:val="548709AD"/>
    <w:rsid w:val="5559085E"/>
    <w:rsid w:val="5FE90493"/>
    <w:rsid w:val="669732E6"/>
    <w:rsid w:val="6C6E054D"/>
    <w:rsid w:val="6DD10271"/>
    <w:rsid w:val="6DF30E0C"/>
    <w:rsid w:val="6F3B5A2C"/>
    <w:rsid w:val="72473C14"/>
    <w:rsid w:val="74B66D07"/>
    <w:rsid w:val="76B40495"/>
    <w:rsid w:val="76F85C50"/>
    <w:rsid w:val="77931835"/>
    <w:rsid w:val="790505A5"/>
    <w:rsid w:val="7C98690B"/>
    <w:rsid w:val="7D0D4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3"/>
    <w:semiHidden/>
    <w:qFormat/>
    <w:uiPriority w:val="99"/>
    <w:rPr>
      <w:sz w:val="18"/>
      <w:szCs w:val="18"/>
    </w:rPr>
  </w:style>
  <w:style w:type="paragraph" w:customStyle="1" w:styleId="13">
    <w:name w:val="段落"/>
    <w:basedOn w:val="1"/>
    <w:qFormat/>
    <w:uiPriority w:val="0"/>
    <w:pPr>
      <w:adjustRightInd w:val="0"/>
      <w:snapToGrid w:val="0"/>
      <w:spacing w:line="288" w:lineRule="auto"/>
      <w:ind w:firstLine="480" w:firstLineChars="200"/>
    </w:pPr>
    <w:rPr>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43</Pages>
  <Words>16305</Words>
  <Characters>20820</Characters>
  <Lines>69</Lines>
  <Paragraphs>19</Paragraphs>
  <TotalTime>5</TotalTime>
  <ScaleCrop>false</ScaleCrop>
  <LinksUpToDate>false</LinksUpToDate>
  <CharactersWithSpaces>22244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WPS_1655168815</cp:lastModifiedBy>
  <cp:lastPrinted>2022-07-27T12:55:00Z</cp:lastPrinted>
  <dcterms:modified xsi:type="dcterms:W3CDTF">2023-10-07T00:59:12Z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2B3A68880C714B208DE77A42279F39B7</vt:lpwstr>
  </property>
</Properties>
</file>